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7B6" w:rsidRDefault="009547B6" w:rsidP="009547B6">
      <w:pPr>
        <w:spacing w:line="480" w:lineRule="auto"/>
        <w:rPr>
          <w:rFonts w:ascii="Times New Roman" w:hAnsi="Times New Roman" w:cs="Times New Roman"/>
          <w:sz w:val="24"/>
          <w:szCs w:val="24"/>
        </w:rPr>
      </w:pPr>
    </w:p>
    <w:p w:rsidR="009547B6" w:rsidRDefault="009547B6" w:rsidP="009547B6">
      <w:pPr>
        <w:spacing w:line="480" w:lineRule="auto"/>
        <w:rPr>
          <w:rFonts w:ascii="Times New Roman" w:hAnsi="Times New Roman" w:cs="Times New Roman"/>
          <w:sz w:val="24"/>
          <w:szCs w:val="24"/>
        </w:rPr>
      </w:pPr>
    </w:p>
    <w:p w:rsidR="009547B6" w:rsidRDefault="009547B6" w:rsidP="009547B6">
      <w:pPr>
        <w:spacing w:line="480" w:lineRule="auto"/>
        <w:rPr>
          <w:rFonts w:ascii="Times New Roman" w:hAnsi="Times New Roman" w:cs="Times New Roman"/>
          <w:sz w:val="24"/>
          <w:szCs w:val="24"/>
        </w:rPr>
      </w:pPr>
      <w:bookmarkStart w:id="0" w:name="_GoBack"/>
      <w:bookmarkEnd w:id="0"/>
    </w:p>
    <w:p w:rsidR="009547B6" w:rsidRDefault="009547B6" w:rsidP="009547B6">
      <w:pPr>
        <w:spacing w:line="480" w:lineRule="auto"/>
        <w:rPr>
          <w:rFonts w:ascii="Times New Roman" w:hAnsi="Times New Roman" w:cs="Times New Roman"/>
          <w:sz w:val="24"/>
          <w:szCs w:val="24"/>
        </w:rPr>
      </w:pPr>
    </w:p>
    <w:p w:rsidR="009547B6" w:rsidRDefault="009547B6" w:rsidP="009547B6">
      <w:pPr>
        <w:spacing w:line="480" w:lineRule="auto"/>
        <w:rPr>
          <w:rFonts w:ascii="Times New Roman" w:hAnsi="Times New Roman" w:cs="Times New Roman"/>
          <w:sz w:val="24"/>
          <w:szCs w:val="24"/>
        </w:rPr>
      </w:pPr>
    </w:p>
    <w:p w:rsidR="009547B6" w:rsidRDefault="009547B6" w:rsidP="009547B6">
      <w:pPr>
        <w:spacing w:line="480" w:lineRule="auto"/>
        <w:jc w:val="center"/>
        <w:rPr>
          <w:rFonts w:ascii="Times New Roman" w:hAnsi="Times New Roman" w:cs="Times New Roman"/>
          <w:sz w:val="24"/>
          <w:szCs w:val="24"/>
        </w:rPr>
      </w:pPr>
    </w:p>
    <w:p w:rsidR="009547B6" w:rsidRPr="009547B6" w:rsidRDefault="009547B6" w:rsidP="009547B6">
      <w:pPr>
        <w:spacing w:line="480" w:lineRule="auto"/>
        <w:jc w:val="center"/>
        <w:rPr>
          <w:rFonts w:ascii="Times New Roman" w:hAnsi="Times New Roman" w:cs="Times New Roman"/>
          <w:sz w:val="24"/>
          <w:szCs w:val="24"/>
        </w:rPr>
      </w:pPr>
      <w:r w:rsidRPr="009547B6">
        <w:rPr>
          <w:rFonts w:ascii="Times New Roman" w:hAnsi="Times New Roman" w:cs="Times New Roman"/>
          <w:sz w:val="24"/>
          <w:szCs w:val="24"/>
        </w:rPr>
        <w:t>COMPARISON OF ROCURONIUM AND SUCCINYLCHOLINE REPORT</w:t>
      </w:r>
    </w:p>
    <w:p w:rsidR="009547B6" w:rsidRDefault="009547B6" w:rsidP="009547B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547B6" w:rsidRPr="009547B6" w:rsidRDefault="009547B6" w:rsidP="009547B6">
      <w:pPr>
        <w:spacing w:line="480" w:lineRule="auto"/>
        <w:jc w:val="center"/>
        <w:rPr>
          <w:rFonts w:ascii="Times New Roman" w:hAnsi="Times New Roman" w:cs="Times New Roman"/>
          <w:sz w:val="24"/>
          <w:szCs w:val="24"/>
        </w:rPr>
      </w:pPr>
      <w:r w:rsidRPr="009547B6">
        <w:rPr>
          <w:rFonts w:ascii="Times New Roman" w:hAnsi="Times New Roman" w:cs="Times New Roman"/>
          <w:sz w:val="24"/>
          <w:szCs w:val="24"/>
        </w:rPr>
        <w:t>Institution</w:t>
      </w:r>
      <w:r>
        <w:rPr>
          <w:rFonts w:ascii="Times New Roman" w:hAnsi="Times New Roman" w:cs="Times New Roman"/>
          <w:sz w:val="24"/>
          <w:szCs w:val="24"/>
        </w:rPr>
        <w:t>:</w:t>
      </w:r>
    </w:p>
    <w:p w:rsidR="009547B6" w:rsidRPr="009547B6" w:rsidRDefault="009547B6" w:rsidP="009547B6">
      <w:pPr>
        <w:spacing w:line="480" w:lineRule="auto"/>
        <w:jc w:val="center"/>
        <w:rPr>
          <w:rFonts w:ascii="Times New Roman" w:hAnsi="Times New Roman" w:cs="Times New Roman"/>
          <w:sz w:val="24"/>
          <w:szCs w:val="24"/>
        </w:rPr>
      </w:pPr>
      <w:r w:rsidRPr="009547B6">
        <w:rPr>
          <w:rFonts w:ascii="Times New Roman" w:hAnsi="Times New Roman" w:cs="Times New Roman"/>
          <w:sz w:val="24"/>
          <w:szCs w:val="24"/>
        </w:rPr>
        <w:t>Cou</w:t>
      </w:r>
      <w:r>
        <w:rPr>
          <w:rFonts w:ascii="Times New Roman" w:hAnsi="Times New Roman" w:cs="Times New Roman"/>
          <w:sz w:val="24"/>
          <w:szCs w:val="24"/>
        </w:rPr>
        <w:t>r</w:t>
      </w:r>
      <w:r w:rsidRPr="009547B6">
        <w:rPr>
          <w:rFonts w:ascii="Times New Roman" w:hAnsi="Times New Roman" w:cs="Times New Roman"/>
          <w:sz w:val="24"/>
          <w:szCs w:val="24"/>
        </w:rPr>
        <w:t>se</w:t>
      </w:r>
      <w:r>
        <w:rPr>
          <w:rFonts w:ascii="Times New Roman" w:hAnsi="Times New Roman" w:cs="Times New Roman"/>
          <w:sz w:val="24"/>
          <w:szCs w:val="24"/>
        </w:rPr>
        <w:t>:</w:t>
      </w:r>
    </w:p>
    <w:p w:rsidR="009547B6" w:rsidRPr="009547B6" w:rsidRDefault="009547B6" w:rsidP="009547B6">
      <w:pPr>
        <w:spacing w:line="480" w:lineRule="auto"/>
        <w:rPr>
          <w:rFonts w:ascii="Times New Roman" w:hAnsi="Times New Roman" w:cs="Times New Roman"/>
          <w:sz w:val="24"/>
          <w:szCs w:val="24"/>
        </w:rPr>
      </w:pPr>
    </w:p>
    <w:p w:rsidR="009547B6" w:rsidRPr="009547B6" w:rsidRDefault="009547B6" w:rsidP="009547B6">
      <w:pPr>
        <w:spacing w:line="480" w:lineRule="auto"/>
        <w:rPr>
          <w:rFonts w:ascii="Times New Roman" w:hAnsi="Times New Roman" w:cs="Times New Roman"/>
          <w:sz w:val="24"/>
          <w:szCs w:val="24"/>
        </w:rPr>
      </w:pPr>
    </w:p>
    <w:p w:rsidR="009547B6" w:rsidRPr="009547B6" w:rsidRDefault="009547B6" w:rsidP="009547B6">
      <w:pPr>
        <w:spacing w:line="480" w:lineRule="auto"/>
        <w:rPr>
          <w:rFonts w:ascii="Times New Roman" w:hAnsi="Times New Roman" w:cs="Times New Roman"/>
          <w:sz w:val="24"/>
          <w:szCs w:val="24"/>
        </w:rPr>
      </w:pPr>
    </w:p>
    <w:p w:rsidR="009547B6" w:rsidRPr="009547B6" w:rsidRDefault="009547B6" w:rsidP="009547B6">
      <w:pPr>
        <w:spacing w:line="480" w:lineRule="auto"/>
        <w:rPr>
          <w:rFonts w:ascii="Times New Roman" w:hAnsi="Times New Roman" w:cs="Times New Roman"/>
          <w:sz w:val="24"/>
          <w:szCs w:val="24"/>
        </w:rPr>
      </w:pPr>
    </w:p>
    <w:p w:rsidR="009547B6" w:rsidRPr="009547B6" w:rsidRDefault="009547B6" w:rsidP="009547B6">
      <w:pPr>
        <w:spacing w:line="480" w:lineRule="auto"/>
        <w:rPr>
          <w:rFonts w:ascii="Times New Roman" w:hAnsi="Times New Roman" w:cs="Times New Roman"/>
          <w:sz w:val="24"/>
          <w:szCs w:val="24"/>
        </w:rPr>
      </w:pPr>
    </w:p>
    <w:p w:rsidR="009547B6" w:rsidRPr="009547B6" w:rsidRDefault="009547B6" w:rsidP="009547B6">
      <w:pPr>
        <w:spacing w:line="480" w:lineRule="auto"/>
        <w:rPr>
          <w:rFonts w:ascii="Times New Roman" w:hAnsi="Times New Roman" w:cs="Times New Roman"/>
          <w:sz w:val="24"/>
          <w:szCs w:val="24"/>
        </w:rPr>
      </w:pPr>
    </w:p>
    <w:p w:rsidR="009547B6" w:rsidRPr="009547B6" w:rsidRDefault="009547B6" w:rsidP="009547B6">
      <w:pPr>
        <w:spacing w:line="480" w:lineRule="auto"/>
        <w:rPr>
          <w:rFonts w:ascii="Times New Roman" w:hAnsi="Times New Roman" w:cs="Times New Roman"/>
          <w:sz w:val="24"/>
          <w:szCs w:val="24"/>
        </w:rPr>
      </w:pPr>
    </w:p>
    <w:p w:rsidR="009547B6" w:rsidRPr="009547B6" w:rsidRDefault="009547B6" w:rsidP="009547B6">
      <w:pPr>
        <w:spacing w:line="480" w:lineRule="auto"/>
        <w:rPr>
          <w:rFonts w:ascii="Times New Roman" w:hAnsi="Times New Roman" w:cs="Times New Roman"/>
          <w:sz w:val="24"/>
          <w:szCs w:val="24"/>
        </w:rPr>
      </w:pPr>
    </w:p>
    <w:p w:rsidR="009547B6" w:rsidRPr="009547B6" w:rsidRDefault="009547B6" w:rsidP="009547B6">
      <w:pPr>
        <w:spacing w:line="480" w:lineRule="auto"/>
        <w:rPr>
          <w:rFonts w:ascii="Times New Roman" w:hAnsi="Times New Roman" w:cs="Times New Roman"/>
          <w:b/>
          <w:sz w:val="24"/>
          <w:szCs w:val="24"/>
        </w:rPr>
      </w:pPr>
      <w:r w:rsidRPr="009547B6">
        <w:rPr>
          <w:rFonts w:ascii="Times New Roman" w:hAnsi="Times New Roman" w:cs="Times New Roman"/>
          <w:b/>
          <w:sz w:val="24"/>
          <w:szCs w:val="24"/>
        </w:rPr>
        <w:lastRenderedPageBreak/>
        <w:t>Introduction</w:t>
      </w:r>
    </w:p>
    <w:p w:rsidR="009547B6" w:rsidRPr="009547B6" w:rsidRDefault="009547B6" w:rsidP="009547B6">
      <w:pPr>
        <w:spacing w:line="480" w:lineRule="auto"/>
        <w:ind w:firstLine="720"/>
        <w:rPr>
          <w:rFonts w:ascii="Times New Roman" w:hAnsi="Times New Roman" w:cs="Times New Roman"/>
          <w:sz w:val="24"/>
          <w:szCs w:val="24"/>
        </w:rPr>
      </w:pPr>
      <w:r w:rsidRPr="009547B6">
        <w:rPr>
          <w:rFonts w:ascii="Times New Roman" w:hAnsi="Times New Roman" w:cs="Times New Roman"/>
          <w:sz w:val="24"/>
          <w:szCs w:val="24"/>
        </w:rPr>
        <w:t>Most of the emergency departments which mostly performing rapid sequence intubation (RSI) must have used Succinylcholine and rocuronium as paralytic agents beyond no point of the doubt due to scientific approval. Thus this paper has identified the primary objective of the study is to compare rocuronium and succinylcholine concerning sedative and analgesia dosing according to several operations on rapid sequen</w:t>
      </w:r>
      <w:r>
        <w:rPr>
          <w:rFonts w:ascii="Times New Roman" w:hAnsi="Times New Roman" w:cs="Times New Roman"/>
          <w:sz w:val="24"/>
          <w:szCs w:val="24"/>
        </w:rPr>
        <w:t xml:space="preserve">ce intubation. (Korinek et al. </w:t>
      </w:r>
      <w:r w:rsidRPr="009547B6">
        <w:rPr>
          <w:rFonts w:ascii="Times New Roman" w:hAnsi="Times New Roman" w:cs="Times New Roman"/>
          <w:sz w:val="24"/>
          <w:szCs w:val="24"/>
        </w:rPr>
        <w:t>2014).  Therefore, the main objective based on the focus of study according to the article is the drug dosing after intubation this also covers a very important objective that is to determine whether rocuronium creates intubating conditions comparable to those of succinylcholine during RSI intubation.</w:t>
      </w:r>
    </w:p>
    <w:p w:rsidR="009547B6" w:rsidRPr="009547B6" w:rsidRDefault="009547B6" w:rsidP="009547B6">
      <w:pPr>
        <w:spacing w:line="480" w:lineRule="auto"/>
        <w:rPr>
          <w:rFonts w:ascii="Times New Roman" w:hAnsi="Times New Roman" w:cs="Times New Roman"/>
          <w:b/>
          <w:sz w:val="24"/>
          <w:szCs w:val="24"/>
        </w:rPr>
      </w:pPr>
      <w:r w:rsidRPr="009547B6">
        <w:rPr>
          <w:rFonts w:ascii="Times New Roman" w:hAnsi="Times New Roman" w:cs="Times New Roman"/>
          <w:b/>
          <w:sz w:val="24"/>
          <w:szCs w:val="24"/>
        </w:rPr>
        <w:t>1.1. Hypothesis</w:t>
      </w:r>
    </w:p>
    <w:p w:rsidR="009547B6" w:rsidRPr="009547B6" w:rsidRDefault="009547B6" w:rsidP="009547B6">
      <w:pPr>
        <w:spacing w:line="480" w:lineRule="auto"/>
        <w:ind w:firstLine="720"/>
        <w:rPr>
          <w:rFonts w:ascii="Times New Roman" w:hAnsi="Times New Roman" w:cs="Times New Roman"/>
          <w:sz w:val="24"/>
          <w:szCs w:val="24"/>
        </w:rPr>
      </w:pPr>
      <w:r w:rsidRPr="009547B6">
        <w:rPr>
          <w:rFonts w:ascii="Times New Roman" w:hAnsi="Times New Roman" w:cs="Times New Roman"/>
          <w:sz w:val="24"/>
          <w:szCs w:val="24"/>
        </w:rPr>
        <w:t xml:space="preserve">According to research, it is mostly driven clinical study research should have primary endpoints and outcomes that </w:t>
      </w:r>
      <w:r>
        <w:rPr>
          <w:rFonts w:ascii="Times New Roman" w:hAnsi="Times New Roman" w:cs="Times New Roman"/>
          <w:sz w:val="24"/>
          <w:szCs w:val="24"/>
        </w:rPr>
        <w:t xml:space="preserve">are measurable (Korinek et al. </w:t>
      </w:r>
      <w:r w:rsidRPr="009547B6">
        <w:rPr>
          <w:rFonts w:ascii="Times New Roman" w:hAnsi="Times New Roman" w:cs="Times New Roman"/>
          <w:sz w:val="24"/>
          <w:szCs w:val="24"/>
        </w:rPr>
        <w:t>2014). Hence it is held in the classical statistics that as the chance of finding at least one comparison that statistically significant due to chance increases with the number of comparisons made thus it must have a driven research design including implementation.</w:t>
      </w:r>
    </w:p>
    <w:p w:rsidR="009547B6" w:rsidRPr="009547B6" w:rsidRDefault="009547B6" w:rsidP="009547B6">
      <w:pPr>
        <w:spacing w:line="480" w:lineRule="auto"/>
        <w:rPr>
          <w:rFonts w:ascii="Times New Roman" w:hAnsi="Times New Roman" w:cs="Times New Roman"/>
          <w:b/>
          <w:sz w:val="24"/>
          <w:szCs w:val="24"/>
        </w:rPr>
      </w:pPr>
      <w:r w:rsidRPr="009547B6">
        <w:rPr>
          <w:rFonts w:ascii="Times New Roman" w:hAnsi="Times New Roman" w:cs="Times New Roman"/>
          <w:b/>
          <w:sz w:val="24"/>
          <w:szCs w:val="24"/>
        </w:rPr>
        <w:t>1.2. Primary outcome</w:t>
      </w:r>
    </w:p>
    <w:p w:rsidR="009547B6" w:rsidRPr="009547B6" w:rsidRDefault="009547B6" w:rsidP="009547B6">
      <w:pPr>
        <w:spacing w:line="480" w:lineRule="auto"/>
        <w:ind w:firstLine="720"/>
        <w:rPr>
          <w:rFonts w:ascii="Times New Roman" w:hAnsi="Times New Roman" w:cs="Times New Roman"/>
          <w:sz w:val="24"/>
          <w:szCs w:val="24"/>
        </w:rPr>
      </w:pPr>
      <w:r w:rsidRPr="009547B6">
        <w:rPr>
          <w:rFonts w:ascii="Times New Roman" w:hAnsi="Times New Roman" w:cs="Times New Roman"/>
          <w:sz w:val="24"/>
          <w:szCs w:val="24"/>
        </w:rPr>
        <w:t>According to the assessment done on intubating conditions by the Anesthesiologist based on both numerical and qualitative scales revealed nine-point grading sy</w:t>
      </w:r>
      <w:r>
        <w:rPr>
          <w:rFonts w:ascii="Times New Roman" w:hAnsi="Times New Roman" w:cs="Times New Roman"/>
          <w:sz w:val="24"/>
          <w:szCs w:val="24"/>
        </w:rPr>
        <w:t xml:space="preserve">stem for intubating conditions, </w:t>
      </w:r>
      <w:r w:rsidRPr="009547B6">
        <w:rPr>
          <w:rFonts w:ascii="Times New Roman" w:hAnsi="Times New Roman" w:cs="Times New Roman"/>
          <w:sz w:val="24"/>
          <w:szCs w:val="24"/>
        </w:rPr>
        <w:t>the primary outcome gives a difference of at least one point being considered as relevant clinically. Moreover, the paper further gives intubating condition in the group under succinylcholine at 60 seconds after administration from the population receivi</w:t>
      </w:r>
      <w:r>
        <w:rPr>
          <w:rFonts w:ascii="Times New Roman" w:hAnsi="Times New Roman" w:cs="Times New Roman"/>
          <w:sz w:val="24"/>
          <w:szCs w:val="24"/>
        </w:rPr>
        <w:t xml:space="preserve">ng rocuronium (Korinek et al. </w:t>
      </w:r>
      <w:r w:rsidRPr="009547B6">
        <w:rPr>
          <w:rFonts w:ascii="Times New Roman" w:hAnsi="Times New Roman" w:cs="Times New Roman"/>
          <w:sz w:val="24"/>
          <w:szCs w:val="24"/>
        </w:rPr>
        <w:t xml:space="preserve">2014). The primary outcome of the study, therefore, was to compare the </w:t>
      </w:r>
      <w:r w:rsidRPr="009547B6">
        <w:rPr>
          <w:rFonts w:ascii="Times New Roman" w:hAnsi="Times New Roman" w:cs="Times New Roman"/>
          <w:sz w:val="24"/>
          <w:szCs w:val="24"/>
        </w:rPr>
        <w:lastRenderedPageBreak/>
        <w:t>intubating conditions with the two doses of rocuronium and in the article is three-point scoring that is good, poor, and excellent.</w:t>
      </w:r>
    </w:p>
    <w:p w:rsidR="009547B6" w:rsidRDefault="009547B6" w:rsidP="009547B6">
      <w:pPr>
        <w:spacing w:line="480" w:lineRule="auto"/>
        <w:rPr>
          <w:rFonts w:ascii="Times New Roman" w:hAnsi="Times New Roman" w:cs="Times New Roman"/>
          <w:b/>
          <w:sz w:val="24"/>
          <w:szCs w:val="24"/>
        </w:rPr>
      </w:pPr>
      <w:r w:rsidRPr="009547B6">
        <w:rPr>
          <w:rFonts w:ascii="Times New Roman" w:hAnsi="Times New Roman" w:cs="Times New Roman"/>
          <w:b/>
          <w:sz w:val="24"/>
          <w:szCs w:val="24"/>
        </w:rPr>
        <w:t>2.0. Transformation of research hypothesis into</w:t>
      </w:r>
      <w:r>
        <w:rPr>
          <w:rFonts w:ascii="Times New Roman" w:hAnsi="Times New Roman" w:cs="Times New Roman"/>
          <w:b/>
          <w:sz w:val="24"/>
          <w:szCs w:val="24"/>
        </w:rPr>
        <w:t xml:space="preserve"> statistical hypothesis to test</w:t>
      </w:r>
    </w:p>
    <w:p w:rsidR="009547B6" w:rsidRPr="009547B6" w:rsidRDefault="009547B6" w:rsidP="009547B6">
      <w:pPr>
        <w:spacing w:line="480" w:lineRule="auto"/>
        <w:ind w:firstLine="720"/>
        <w:rPr>
          <w:rFonts w:ascii="Times New Roman" w:hAnsi="Times New Roman" w:cs="Times New Roman"/>
          <w:b/>
          <w:sz w:val="24"/>
          <w:szCs w:val="24"/>
        </w:rPr>
      </w:pPr>
      <w:r w:rsidRPr="009547B6">
        <w:rPr>
          <w:rFonts w:ascii="Times New Roman" w:hAnsi="Times New Roman" w:cs="Times New Roman"/>
          <w:sz w:val="24"/>
          <w:szCs w:val="24"/>
        </w:rPr>
        <w:t>Ideally, the designed null and alternative hypotheses must correspond to a partition of all possible true probability models to help in inferring alternative hypothesis upon the rejection of the null one. If  Pw: w€Ω this represents all possible claims of underlying true probability models Pw to quantify the difference between two treatments on the chosen outcome, the null hypothesis Ho=(Pw:</w:t>
      </w:r>
      <w:r>
        <w:rPr>
          <w:rFonts w:ascii="Times New Roman" w:hAnsi="Times New Roman" w:cs="Times New Roman"/>
          <w:sz w:val="24"/>
          <w:szCs w:val="24"/>
        </w:rPr>
        <w:t xml:space="preserve"> </w:t>
      </w:r>
      <w:r w:rsidRPr="009547B6">
        <w:rPr>
          <w:rFonts w:ascii="Times New Roman" w:hAnsi="Times New Roman" w:cs="Times New Roman"/>
          <w:sz w:val="24"/>
          <w:szCs w:val="24"/>
        </w:rPr>
        <w:t>w€Ωo) this typically asserts that new treatment is not better or equivalent to the stand</w:t>
      </w:r>
      <w:r>
        <w:rPr>
          <w:rFonts w:ascii="Times New Roman" w:hAnsi="Times New Roman" w:cs="Times New Roman"/>
          <w:sz w:val="24"/>
          <w:szCs w:val="24"/>
        </w:rPr>
        <w:t xml:space="preserve">ard treatment (Korinek et al. </w:t>
      </w:r>
      <w:r w:rsidRPr="009547B6">
        <w:rPr>
          <w:rFonts w:ascii="Times New Roman" w:hAnsi="Times New Roman" w:cs="Times New Roman"/>
          <w:sz w:val="24"/>
          <w:szCs w:val="24"/>
        </w:rPr>
        <w:t>2014).  Hence the sample size is chosen so that the statistical test can adequately show good improvement clinically as shown by true hypothesis or the alternative hypothesis Ha=(Pw: w €Ωa).Thus : Ωo  ∩ Ωa that is an empty set, and Ho U Ha =( Ωo U Ωa = Ω)</w:t>
      </w:r>
    </w:p>
    <w:p w:rsidR="009547B6" w:rsidRPr="009547B6" w:rsidRDefault="009547B6" w:rsidP="009547B6">
      <w:pPr>
        <w:spacing w:line="480" w:lineRule="auto"/>
        <w:rPr>
          <w:rFonts w:ascii="Times New Roman" w:hAnsi="Times New Roman" w:cs="Times New Roman"/>
          <w:sz w:val="24"/>
          <w:szCs w:val="24"/>
        </w:rPr>
      </w:pPr>
      <w:r w:rsidRPr="009547B6">
        <w:rPr>
          <w:rFonts w:ascii="Times New Roman" w:hAnsi="Times New Roman" w:cs="Times New Roman"/>
          <w:sz w:val="24"/>
          <w:szCs w:val="24"/>
        </w:rPr>
        <w:t>Standardized difference =10 mg/kg /20 mg/kg =0.5</w:t>
      </w:r>
    </w:p>
    <w:p w:rsidR="009547B6" w:rsidRPr="009547B6" w:rsidRDefault="009547B6" w:rsidP="009547B6">
      <w:pPr>
        <w:spacing w:line="480" w:lineRule="auto"/>
        <w:rPr>
          <w:rFonts w:ascii="Times New Roman" w:hAnsi="Times New Roman" w:cs="Times New Roman"/>
          <w:sz w:val="24"/>
          <w:szCs w:val="24"/>
        </w:rPr>
      </w:pPr>
      <w:r w:rsidRPr="009547B6">
        <w:rPr>
          <w:rFonts w:ascii="Times New Roman" w:hAnsi="Times New Roman" w:cs="Times New Roman"/>
          <w:sz w:val="24"/>
          <w:szCs w:val="24"/>
        </w:rPr>
        <w:t xml:space="preserve">Power level (pβ) of 0.8 the number of patients required is 64. </w:t>
      </w:r>
    </w:p>
    <w:p w:rsidR="009547B6" w:rsidRPr="009547B6" w:rsidRDefault="009547B6" w:rsidP="009547B6">
      <w:pPr>
        <w:spacing w:line="480" w:lineRule="auto"/>
        <w:rPr>
          <w:rFonts w:ascii="Times New Roman" w:hAnsi="Times New Roman" w:cs="Times New Roman"/>
          <w:sz w:val="24"/>
          <w:szCs w:val="24"/>
        </w:rPr>
      </w:pPr>
      <w:r w:rsidRPr="009547B6">
        <w:rPr>
          <w:rFonts w:ascii="Times New Roman" w:hAnsi="Times New Roman" w:cs="Times New Roman"/>
          <w:sz w:val="24"/>
          <w:szCs w:val="24"/>
        </w:rPr>
        <w:t xml:space="preserve">P 1= proportional mortality in rocuronium group =12% or 0.12 </w:t>
      </w:r>
    </w:p>
    <w:p w:rsidR="009547B6" w:rsidRPr="009547B6" w:rsidRDefault="009547B6" w:rsidP="009547B6">
      <w:pPr>
        <w:spacing w:line="480" w:lineRule="auto"/>
        <w:rPr>
          <w:rFonts w:ascii="Times New Roman" w:hAnsi="Times New Roman" w:cs="Times New Roman"/>
          <w:sz w:val="24"/>
          <w:szCs w:val="24"/>
        </w:rPr>
      </w:pPr>
      <w:r w:rsidRPr="009547B6">
        <w:rPr>
          <w:rFonts w:ascii="Times New Roman" w:hAnsi="Times New Roman" w:cs="Times New Roman"/>
          <w:sz w:val="24"/>
          <w:szCs w:val="24"/>
        </w:rPr>
        <w:t>SD =p1-p2 /√ (p (1-p)</w:t>
      </w:r>
    </w:p>
    <w:p w:rsidR="009547B6" w:rsidRPr="009547B6" w:rsidRDefault="009547B6" w:rsidP="009547B6">
      <w:pPr>
        <w:spacing w:line="480" w:lineRule="auto"/>
        <w:rPr>
          <w:rFonts w:ascii="Times New Roman" w:hAnsi="Times New Roman" w:cs="Times New Roman"/>
          <w:sz w:val="24"/>
          <w:szCs w:val="24"/>
        </w:rPr>
      </w:pPr>
      <w:r w:rsidRPr="009547B6">
        <w:rPr>
          <w:rFonts w:ascii="Times New Roman" w:hAnsi="Times New Roman" w:cs="Times New Roman"/>
          <w:sz w:val="24"/>
          <w:szCs w:val="24"/>
        </w:rPr>
        <w:t>(0.12-0.09)/√0.105 (1-0.105)</w:t>
      </w:r>
    </w:p>
    <w:p w:rsidR="009547B6" w:rsidRPr="009547B6" w:rsidRDefault="009547B6" w:rsidP="009547B6">
      <w:pPr>
        <w:spacing w:line="480" w:lineRule="auto"/>
        <w:rPr>
          <w:rFonts w:ascii="Times New Roman" w:hAnsi="Times New Roman" w:cs="Times New Roman"/>
          <w:sz w:val="24"/>
          <w:szCs w:val="24"/>
        </w:rPr>
      </w:pPr>
      <w:r w:rsidRPr="009547B6">
        <w:rPr>
          <w:rFonts w:ascii="Times New Roman" w:hAnsi="Times New Roman" w:cs="Times New Roman"/>
          <w:sz w:val="24"/>
          <w:szCs w:val="24"/>
        </w:rPr>
        <w:t>Ha = 0.03/0.30=0.1</w:t>
      </w:r>
    </w:p>
    <w:p w:rsidR="009547B6" w:rsidRPr="009547B6" w:rsidRDefault="009547B6" w:rsidP="009547B6">
      <w:pPr>
        <w:spacing w:line="480" w:lineRule="auto"/>
        <w:rPr>
          <w:rFonts w:ascii="Times New Roman" w:hAnsi="Times New Roman" w:cs="Times New Roman"/>
          <w:b/>
          <w:sz w:val="24"/>
          <w:szCs w:val="24"/>
        </w:rPr>
      </w:pPr>
      <w:r w:rsidRPr="009547B6">
        <w:rPr>
          <w:rFonts w:ascii="Times New Roman" w:hAnsi="Times New Roman" w:cs="Times New Roman"/>
          <w:b/>
          <w:sz w:val="24"/>
          <w:szCs w:val="24"/>
        </w:rPr>
        <w:t xml:space="preserve">3.0. How the sample size was determined </w:t>
      </w:r>
    </w:p>
    <w:p w:rsidR="009547B6" w:rsidRPr="009547B6" w:rsidRDefault="009547B6" w:rsidP="009547B6">
      <w:pPr>
        <w:spacing w:line="480" w:lineRule="auto"/>
        <w:ind w:firstLine="720"/>
        <w:rPr>
          <w:rFonts w:ascii="Times New Roman" w:hAnsi="Times New Roman" w:cs="Times New Roman"/>
          <w:sz w:val="24"/>
          <w:szCs w:val="24"/>
        </w:rPr>
      </w:pPr>
      <w:r w:rsidRPr="009547B6">
        <w:rPr>
          <w:rFonts w:ascii="Times New Roman" w:hAnsi="Times New Roman" w:cs="Times New Roman"/>
          <w:sz w:val="24"/>
          <w:szCs w:val="24"/>
        </w:rPr>
        <w:t xml:space="preserve">The sample size was calculated with the help of statistical data by the study carried out where 254 patients of which 50 either sex, aged between 18-60 years of ASA grade ½  were </w:t>
      </w:r>
      <w:r w:rsidRPr="009547B6">
        <w:rPr>
          <w:rFonts w:ascii="Times New Roman" w:hAnsi="Times New Roman" w:cs="Times New Roman"/>
          <w:sz w:val="24"/>
          <w:szCs w:val="24"/>
        </w:rPr>
        <w:lastRenderedPageBreak/>
        <w:t>scheduled to undergo various surgical procedures were with informed consent</w:t>
      </w:r>
      <w:r>
        <w:rPr>
          <w:rFonts w:ascii="Times New Roman" w:hAnsi="Times New Roman" w:cs="Times New Roman"/>
          <w:sz w:val="24"/>
          <w:szCs w:val="24"/>
        </w:rPr>
        <w:t xml:space="preserve"> </w:t>
      </w:r>
      <w:r w:rsidRPr="009547B6">
        <w:rPr>
          <w:rFonts w:ascii="Times New Roman" w:hAnsi="Times New Roman" w:cs="Times New Roman"/>
          <w:sz w:val="24"/>
          <w:szCs w:val="24"/>
        </w:rPr>
        <w:t>(Korinek et al.,.2014).  .The first method is the Onset time also known as Apnea time this the time between the end of injection of the muscle relaxant and onset of apnea time was noted intubation attempt of 60 seconds was made. The condition was evaluated as in the scorecard that is, Total score 8-9 excellent, 6-7 good, 3-5 fair. In this article, it</w:t>
      </w:r>
      <w:r>
        <w:rPr>
          <w:rFonts w:ascii="Times New Roman" w:hAnsi="Times New Roman" w:cs="Times New Roman"/>
          <w:sz w:val="24"/>
          <w:szCs w:val="24"/>
        </w:rPr>
        <w:t xml:space="preserve"> is fair of 3-4 (Korinek et al. </w:t>
      </w:r>
      <w:r w:rsidRPr="009547B6">
        <w:rPr>
          <w:rFonts w:ascii="Times New Roman" w:hAnsi="Times New Roman" w:cs="Times New Roman"/>
          <w:sz w:val="24"/>
          <w:szCs w:val="24"/>
        </w:rPr>
        <w:t>2014). These were measured pre-operative for baseline figures repeatedly after induction.</w:t>
      </w:r>
    </w:p>
    <w:p w:rsidR="009547B6" w:rsidRPr="009547B6" w:rsidRDefault="009547B6" w:rsidP="009547B6">
      <w:pPr>
        <w:spacing w:line="480" w:lineRule="auto"/>
        <w:rPr>
          <w:rFonts w:ascii="Times New Roman" w:hAnsi="Times New Roman" w:cs="Times New Roman"/>
          <w:b/>
          <w:sz w:val="24"/>
          <w:szCs w:val="24"/>
        </w:rPr>
      </w:pPr>
      <w:r w:rsidRPr="009547B6">
        <w:rPr>
          <w:rFonts w:ascii="Times New Roman" w:hAnsi="Times New Roman" w:cs="Times New Roman"/>
          <w:b/>
          <w:sz w:val="24"/>
          <w:szCs w:val="24"/>
        </w:rPr>
        <w:t>Illustration</w:t>
      </w:r>
    </w:p>
    <w:p w:rsidR="009547B6" w:rsidRPr="009547B6" w:rsidRDefault="009547B6" w:rsidP="009547B6">
      <w:pPr>
        <w:spacing w:line="480" w:lineRule="auto"/>
        <w:rPr>
          <w:rFonts w:ascii="Times New Roman" w:hAnsi="Times New Roman" w:cs="Times New Roman"/>
          <w:sz w:val="24"/>
          <w:szCs w:val="24"/>
        </w:rPr>
      </w:pPr>
      <w:r w:rsidRPr="009547B6">
        <w:rPr>
          <w:rFonts w:ascii="Times New Roman" w:hAnsi="Times New Roman" w:cs="Times New Roman"/>
          <w:sz w:val="24"/>
          <w:szCs w:val="24"/>
        </w:rPr>
        <w:t>Onset times for patients receiving 0.9 mg/kg (75+/-28 s) and 1.2 mg/kg rocuronium (55+/-14s), and succinylcholine (50+/-17s) were similar. Onset times for the groups given 0.6 mg/kg rocuronium.</w:t>
      </w:r>
      <w:r>
        <w:rPr>
          <w:rFonts w:ascii="Times New Roman" w:hAnsi="Times New Roman" w:cs="Times New Roman"/>
          <w:sz w:val="24"/>
          <w:szCs w:val="24"/>
        </w:rPr>
        <w:t xml:space="preserve"> </w:t>
      </w:r>
      <w:r w:rsidRPr="009547B6">
        <w:rPr>
          <w:rFonts w:ascii="Times New Roman" w:hAnsi="Times New Roman" w:cs="Times New Roman"/>
          <w:sz w:val="24"/>
          <w:szCs w:val="24"/>
        </w:rPr>
        <w:t>(89+/-33 s) and vecuronium (144+/-39s) were significantly longer.</w:t>
      </w:r>
    </w:p>
    <w:p w:rsidR="009547B6" w:rsidRPr="009547B6" w:rsidRDefault="009547B6" w:rsidP="009547B6">
      <w:pPr>
        <w:spacing w:line="480" w:lineRule="auto"/>
        <w:ind w:firstLine="720"/>
        <w:rPr>
          <w:rFonts w:ascii="Times New Roman" w:hAnsi="Times New Roman" w:cs="Times New Roman"/>
          <w:sz w:val="24"/>
          <w:szCs w:val="24"/>
        </w:rPr>
      </w:pPr>
      <w:r w:rsidRPr="009547B6">
        <w:rPr>
          <w:rFonts w:ascii="Times New Roman" w:hAnsi="Times New Roman" w:cs="Times New Roman"/>
          <w:sz w:val="24"/>
          <w:szCs w:val="24"/>
        </w:rPr>
        <w:t>Clinical duration of action is longer with 1.2 mg/kg rocuronium, similar with 0.6 and 0.9 mg/kg. The second method is the Moderate Moving Slight diaphragmatic movement which normally works with the help of Good Open. None this has grouped grade score as in the article that is grade score group 1 which is rocuronium bromide 0.6mg/kg and group 2 succinylcholine 1.5 mg/kg the number of patients being 50% on both, Duration of action in minutes is recorded as 30 minutes.</w:t>
      </w:r>
    </w:p>
    <w:p w:rsidR="009547B6" w:rsidRDefault="009547B6" w:rsidP="009547B6">
      <w:pPr>
        <w:spacing w:line="480" w:lineRule="auto"/>
        <w:ind w:firstLine="720"/>
        <w:rPr>
          <w:rFonts w:ascii="Times New Roman" w:hAnsi="Times New Roman" w:cs="Times New Roman"/>
          <w:sz w:val="24"/>
          <w:szCs w:val="24"/>
        </w:rPr>
      </w:pPr>
      <w:r w:rsidRPr="009547B6">
        <w:rPr>
          <w:rFonts w:ascii="Times New Roman" w:hAnsi="Times New Roman" w:cs="Times New Roman"/>
          <w:sz w:val="24"/>
          <w:szCs w:val="24"/>
        </w:rPr>
        <w:t>The statistical analysis was majorly done by a method called SPSS software version 16. Hence the data collected were presented in the forms of tables, and then the analysis was done by descriptive statistics, mean, 95% confidence interval for all continuous variables</w:t>
      </w:r>
      <w:r>
        <w:rPr>
          <w:rFonts w:ascii="Times New Roman" w:hAnsi="Times New Roman" w:cs="Times New Roman"/>
          <w:sz w:val="24"/>
          <w:szCs w:val="24"/>
        </w:rPr>
        <w:t xml:space="preserve"> (Korinek et al. </w:t>
      </w:r>
      <w:r w:rsidRPr="009547B6">
        <w:rPr>
          <w:rFonts w:ascii="Times New Roman" w:hAnsi="Times New Roman" w:cs="Times New Roman"/>
          <w:sz w:val="24"/>
          <w:szCs w:val="24"/>
        </w:rPr>
        <w:t xml:space="preserve">2014). </w:t>
      </w:r>
    </w:p>
    <w:p w:rsidR="009547B6" w:rsidRDefault="009547B6" w:rsidP="009547B6">
      <w:pPr>
        <w:spacing w:line="480" w:lineRule="auto"/>
        <w:ind w:firstLine="720"/>
        <w:rPr>
          <w:rFonts w:ascii="Times New Roman" w:hAnsi="Times New Roman" w:cs="Times New Roman"/>
          <w:sz w:val="24"/>
          <w:szCs w:val="24"/>
        </w:rPr>
      </w:pPr>
    </w:p>
    <w:p w:rsidR="00D44442" w:rsidRPr="009547B6" w:rsidRDefault="00D44442" w:rsidP="009547B6">
      <w:pPr>
        <w:spacing w:line="480" w:lineRule="auto"/>
        <w:ind w:firstLine="720"/>
        <w:rPr>
          <w:rFonts w:ascii="Times New Roman" w:hAnsi="Times New Roman" w:cs="Times New Roman"/>
          <w:sz w:val="24"/>
          <w:szCs w:val="24"/>
        </w:rPr>
      </w:pPr>
    </w:p>
    <w:p w:rsidR="009547B6" w:rsidRPr="009547B6" w:rsidRDefault="009547B6" w:rsidP="009547B6">
      <w:pPr>
        <w:spacing w:line="480" w:lineRule="auto"/>
        <w:rPr>
          <w:rFonts w:ascii="Times New Roman" w:hAnsi="Times New Roman" w:cs="Times New Roman"/>
          <w:b/>
          <w:sz w:val="24"/>
          <w:szCs w:val="24"/>
        </w:rPr>
      </w:pPr>
      <w:r w:rsidRPr="009547B6">
        <w:rPr>
          <w:rFonts w:ascii="Times New Roman" w:hAnsi="Times New Roman" w:cs="Times New Roman"/>
          <w:b/>
          <w:sz w:val="24"/>
          <w:szCs w:val="24"/>
        </w:rPr>
        <w:lastRenderedPageBreak/>
        <w:t xml:space="preserve"> Workings:</w:t>
      </w:r>
    </w:p>
    <w:p w:rsidR="009547B6" w:rsidRPr="009547B6" w:rsidRDefault="009547B6" w:rsidP="009547B6">
      <w:pPr>
        <w:spacing w:line="480" w:lineRule="auto"/>
        <w:ind w:firstLine="720"/>
        <w:rPr>
          <w:rFonts w:ascii="Times New Roman" w:hAnsi="Times New Roman" w:cs="Times New Roman"/>
          <w:sz w:val="24"/>
          <w:szCs w:val="24"/>
        </w:rPr>
      </w:pPr>
      <w:r w:rsidRPr="009547B6">
        <w:rPr>
          <w:rFonts w:ascii="Times New Roman" w:hAnsi="Times New Roman" w:cs="Times New Roman"/>
          <w:sz w:val="24"/>
          <w:szCs w:val="24"/>
        </w:rPr>
        <w:t xml:space="preserve"> The difference between the groups (rocuronium-succinylcholine); -3.9% (95% confidence interval-9.7% to 1.9%)</w:t>
      </w:r>
      <w:r w:rsidRPr="009547B6">
        <w:rPr>
          <w:rFonts w:ascii="Times New Roman" w:hAnsi="Times New Roman" w:cs="Times New Roman"/>
          <w:sz w:val="24"/>
          <w:szCs w:val="24"/>
        </w:rPr>
        <w:t>; the</w:t>
      </w:r>
      <w:r w:rsidRPr="009547B6">
        <w:rPr>
          <w:rFonts w:ascii="Times New Roman" w:hAnsi="Times New Roman" w:cs="Times New Roman"/>
          <w:sz w:val="24"/>
          <w:szCs w:val="24"/>
        </w:rPr>
        <w:t xml:space="preserve"> equivalent results for the intention-to-treat analysis were-3.8(-10% to 2.4%).</w:t>
      </w:r>
    </w:p>
    <w:p w:rsidR="009547B6" w:rsidRPr="009547B6" w:rsidRDefault="009547B6" w:rsidP="009547B6">
      <w:pPr>
        <w:spacing w:line="480" w:lineRule="auto"/>
        <w:rPr>
          <w:rFonts w:ascii="Times New Roman" w:hAnsi="Times New Roman" w:cs="Times New Roman"/>
          <w:b/>
          <w:sz w:val="24"/>
          <w:szCs w:val="24"/>
        </w:rPr>
      </w:pPr>
      <w:r w:rsidRPr="009547B6">
        <w:rPr>
          <w:rFonts w:ascii="Times New Roman" w:hAnsi="Times New Roman" w:cs="Times New Roman"/>
          <w:b/>
          <w:sz w:val="24"/>
          <w:szCs w:val="24"/>
        </w:rPr>
        <w:t>4.0. Demographic variables</w:t>
      </w:r>
    </w:p>
    <w:p w:rsidR="009547B6" w:rsidRPr="009547B6" w:rsidRDefault="009547B6" w:rsidP="009547B6">
      <w:pPr>
        <w:spacing w:line="480" w:lineRule="auto"/>
        <w:rPr>
          <w:rFonts w:ascii="Times New Roman" w:hAnsi="Times New Roman" w:cs="Times New Roman"/>
          <w:sz w:val="24"/>
          <w:szCs w:val="24"/>
        </w:rPr>
      </w:pPr>
      <w:r w:rsidRPr="009547B6">
        <w:rPr>
          <w:rFonts w:ascii="Times New Roman" w:hAnsi="Times New Roman" w:cs="Times New Roman"/>
          <w:sz w:val="24"/>
          <w:szCs w:val="24"/>
        </w:rPr>
        <w:t>The method used according to results from both tabl</w:t>
      </w:r>
      <w:r>
        <w:rPr>
          <w:rFonts w:ascii="Times New Roman" w:hAnsi="Times New Roman" w:cs="Times New Roman"/>
          <w:sz w:val="24"/>
          <w:szCs w:val="24"/>
        </w:rPr>
        <w:t xml:space="preserve">es is the linear regression. </w:t>
      </w:r>
      <w:r w:rsidRPr="009547B6">
        <w:rPr>
          <w:rFonts w:ascii="Times New Roman" w:hAnsi="Times New Roman" w:cs="Times New Roman"/>
          <w:sz w:val="24"/>
          <w:szCs w:val="24"/>
        </w:rPr>
        <w:t>There was a significant difference in the mean age of P= 0.04 that is rocuronium having 52.3 while the succinylcholine groups a</w:t>
      </w:r>
      <w:r w:rsidR="00D44442">
        <w:rPr>
          <w:rFonts w:ascii="Times New Roman" w:hAnsi="Times New Roman" w:cs="Times New Roman"/>
          <w:sz w:val="24"/>
          <w:szCs w:val="24"/>
        </w:rPr>
        <w:t>re having 47.2 (Korinek et al</w:t>
      </w:r>
      <w:r w:rsidRPr="009547B6">
        <w:rPr>
          <w:rFonts w:ascii="Times New Roman" w:hAnsi="Times New Roman" w:cs="Times New Roman"/>
          <w:sz w:val="24"/>
          <w:szCs w:val="24"/>
        </w:rPr>
        <w:t>.</w:t>
      </w:r>
      <w:r w:rsidR="00D44442">
        <w:rPr>
          <w:rFonts w:ascii="Times New Roman" w:hAnsi="Times New Roman" w:cs="Times New Roman"/>
          <w:sz w:val="24"/>
          <w:szCs w:val="24"/>
        </w:rPr>
        <w:t xml:space="preserve"> </w:t>
      </w:r>
      <w:r w:rsidRPr="009547B6">
        <w:rPr>
          <w:rFonts w:ascii="Times New Roman" w:hAnsi="Times New Roman" w:cs="Times New Roman"/>
          <w:sz w:val="24"/>
          <w:szCs w:val="24"/>
        </w:rPr>
        <w:t>2014). Thus the test was two-sided and paired samples according to the article table 1 of demographics. However, the number of intubation attempts, the trauma presence and the probability of occurrence of stroke is very similar between the two groups hence it one hundred percent indications that the test was a two-sided and paired samples.</w:t>
      </w:r>
    </w:p>
    <w:p w:rsidR="009547B6" w:rsidRPr="009547B6" w:rsidRDefault="009547B6" w:rsidP="009547B6">
      <w:pPr>
        <w:spacing w:line="480" w:lineRule="auto"/>
        <w:ind w:firstLine="720"/>
        <w:rPr>
          <w:rFonts w:ascii="Times New Roman" w:hAnsi="Times New Roman" w:cs="Times New Roman"/>
          <w:sz w:val="24"/>
          <w:szCs w:val="24"/>
        </w:rPr>
      </w:pPr>
      <w:r w:rsidRPr="009547B6">
        <w:rPr>
          <w:rFonts w:ascii="Times New Roman" w:hAnsi="Times New Roman" w:cs="Times New Roman"/>
          <w:sz w:val="24"/>
          <w:szCs w:val="24"/>
        </w:rPr>
        <w:t xml:space="preserve">According to weight measurements, it is assessed that although all patients from the two groups received etomidate for induction, some patients encounter additional sedatives before RSI based on their weight. For instance rocuronium 0.789 and they weigh more of 0.27±0.09 as compared to the one selected for succinylcholine that majority weighs 0.26 ±0.09 mg/kg, hence the study is a one-sided </w:t>
      </w:r>
      <w:r>
        <w:rPr>
          <w:rFonts w:ascii="Times New Roman" w:hAnsi="Times New Roman" w:cs="Times New Roman"/>
          <w:sz w:val="24"/>
          <w:szCs w:val="24"/>
        </w:rPr>
        <w:t xml:space="preserve">on this matter (Korinek et al. </w:t>
      </w:r>
      <w:r w:rsidRPr="009547B6">
        <w:rPr>
          <w:rFonts w:ascii="Times New Roman" w:hAnsi="Times New Roman" w:cs="Times New Roman"/>
          <w:sz w:val="24"/>
          <w:szCs w:val="24"/>
        </w:rPr>
        <w:t>2014).</w:t>
      </w:r>
    </w:p>
    <w:p w:rsidR="009547B6" w:rsidRPr="009547B6" w:rsidRDefault="009547B6" w:rsidP="009547B6">
      <w:pPr>
        <w:spacing w:line="480" w:lineRule="auto"/>
        <w:ind w:firstLine="720"/>
        <w:rPr>
          <w:rFonts w:ascii="Times New Roman" w:hAnsi="Times New Roman" w:cs="Times New Roman"/>
          <w:sz w:val="24"/>
          <w:szCs w:val="24"/>
        </w:rPr>
      </w:pPr>
      <w:r w:rsidRPr="009547B6">
        <w:rPr>
          <w:rFonts w:ascii="Times New Roman" w:hAnsi="Times New Roman" w:cs="Times New Roman"/>
          <w:sz w:val="24"/>
          <w:szCs w:val="24"/>
        </w:rPr>
        <w:t>In table 1 it is clear evidence that female sex was the majority who were taken for a test from the two groups where males only cover 0.040 percent of the 254 people, therefore it is a one-sided test and comprises of a paired samples</w:t>
      </w:r>
      <w:r>
        <w:rPr>
          <w:rFonts w:ascii="Times New Roman" w:hAnsi="Times New Roman" w:cs="Times New Roman"/>
          <w:sz w:val="24"/>
          <w:szCs w:val="24"/>
        </w:rPr>
        <w:t xml:space="preserve"> </w:t>
      </w:r>
      <w:r w:rsidRPr="009547B6">
        <w:rPr>
          <w:rFonts w:ascii="Times New Roman" w:hAnsi="Times New Roman" w:cs="Times New Roman"/>
          <w:sz w:val="24"/>
          <w:szCs w:val="24"/>
        </w:rPr>
        <w:t xml:space="preserve">(Korinek et al.,.2014). Moreover, temperature varies very slightly in that the study was conducted on the same environment that emergency </w:t>
      </w:r>
      <w:r w:rsidRPr="009547B6">
        <w:rPr>
          <w:rFonts w:ascii="Times New Roman" w:hAnsi="Times New Roman" w:cs="Times New Roman"/>
          <w:sz w:val="24"/>
          <w:szCs w:val="24"/>
        </w:rPr>
        <w:lastRenderedPageBreak/>
        <w:t>departments, however, the test for succinylcholine is higher based on the time that is 22.1±8.4 compared to the rocuronium.</w:t>
      </w:r>
    </w:p>
    <w:p w:rsidR="009547B6" w:rsidRPr="009547B6" w:rsidRDefault="009547B6" w:rsidP="009547B6">
      <w:pPr>
        <w:spacing w:line="480" w:lineRule="auto"/>
        <w:ind w:firstLine="720"/>
        <w:rPr>
          <w:rFonts w:ascii="Times New Roman" w:hAnsi="Times New Roman" w:cs="Times New Roman"/>
          <w:sz w:val="24"/>
          <w:szCs w:val="24"/>
        </w:rPr>
      </w:pPr>
      <w:r w:rsidRPr="009547B6">
        <w:rPr>
          <w:rFonts w:ascii="Times New Roman" w:hAnsi="Times New Roman" w:cs="Times New Roman"/>
          <w:sz w:val="24"/>
          <w:szCs w:val="24"/>
        </w:rPr>
        <w:t>Lastly based on the demographics and baseline variables data on table 1 the oxygen saturation remains the same that is 36.3 meaning that the test was two-sided and based on paired samples</w:t>
      </w:r>
      <w:r>
        <w:rPr>
          <w:rFonts w:ascii="Times New Roman" w:hAnsi="Times New Roman" w:cs="Times New Roman"/>
          <w:sz w:val="24"/>
          <w:szCs w:val="24"/>
        </w:rPr>
        <w:t xml:space="preserve"> (Korinek et al. </w:t>
      </w:r>
      <w:r w:rsidRPr="009547B6">
        <w:rPr>
          <w:rFonts w:ascii="Times New Roman" w:hAnsi="Times New Roman" w:cs="Times New Roman"/>
          <w:sz w:val="24"/>
          <w:szCs w:val="24"/>
        </w:rPr>
        <w:t>2014).</w:t>
      </w:r>
    </w:p>
    <w:p w:rsidR="009547B6" w:rsidRPr="009547B6" w:rsidRDefault="009547B6" w:rsidP="009547B6">
      <w:pPr>
        <w:spacing w:line="480" w:lineRule="auto"/>
        <w:rPr>
          <w:rFonts w:ascii="Times New Roman" w:hAnsi="Times New Roman" w:cs="Times New Roman"/>
          <w:b/>
          <w:sz w:val="24"/>
          <w:szCs w:val="24"/>
        </w:rPr>
      </w:pPr>
      <w:r w:rsidRPr="009547B6">
        <w:rPr>
          <w:rFonts w:ascii="Times New Roman" w:hAnsi="Times New Roman" w:cs="Times New Roman"/>
          <w:b/>
          <w:sz w:val="24"/>
          <w:szCs w:val="24"/>
        </w:rPr>
        <w:t>Workings:</w:t>
      </w:r>
    </w:p>
    <w:p w:rsidR="009547B6" w:rsidRDefault="009547B6" w:rsidP="009547B6">
      <w:pPr>
        <w:spacing w:line="480" w:lineRule="auto"/>
        <w:rPr>
          <w:rFonts w:ascii="Times New Roman" w:hAnsi="Times New Roman" w:cs="Times New Roman"/>
          <w:sz w:val="24"/>
          <w:szCs w:val="24"/>
        </w:rPr>
      </w:pPr>
      <w:r w:rsidRPr="009547B6">
        <w:rPr>
          <w:rFonts w:ascii="Times New Roman" w:hAnsi="Times New Roman" w:cs="Times New Roman"/>
          <w:sz w:val="24"/>
          <w:szCs w:val="24"/>
        </w:rPr>
        <w:t xml:space="preserve"> A total of 254 met the criteria for analysis; 761 (73%) were male, and the median age was 41 years (interquartile range  26-56 )</w:t>
      </w:r>
    </w:p>
    <w:p w:rsidR="009547B6" w:rsidRPr="009547B6" w:rsidRDefault="009547B6" w:rsidP="009547B6">
      <w:pPr>
        <w:spacing w:line="480" w:lineRule="auto"/>
        <w:rPr>
          <w:rFonts w:ascii="Times New Roman" w:hAnsi="Times New Roman" w:cs="Times New Roman"/>
          <w:sz w:val="24"/>
          <w:szCs w:val="24"/>
        </w:rPr>
      </w:pPr>
      <w:r w:rsidRPr="009547B6">
        <w:rPr>
          <w:rFonts w:ascii="Times New Roman" w:hAnsi="Times New Roman" w:cs="Times New Roman"/>
          <w:sz w:val="24"/>
          <w:szCs w:val="24"/>
        </w:rPr>
        <w:t>5.0. Rocuronium and succinylcholine have considerable differences in their durations of effects that's why two models in table 2 that is results before intubation and care influences after all.</w:t>
      </w:r>
    </w:p>
    <w:p w:rsidR="009547B6" w:rsidRPr="009547B6" w:rsidRDefault="009547B6" w:rsidP="009547B6">
      <w:pPr>
        <w:spacing w:line="480" w:lineRule="auto"/>
        <w:rPr>
          <w:rFonts w:ascii="Times New Roman" w:hAnsi="Times New Roman" w:cs="Times New Roman"/>
          <w:sz w:val="24"/>
          <w:szCs w:val="24"/>
        </w:rPr>
      </w:pPr>
      <w:r w:rsidRPr="009547B6">
        <w:rPr>
          <w:rFonts w:ascii="Times New Roman" w:hAnsi="Times New Roman" w:cs="Times New Roman"/>
          <w:sz w:val="24"/>
          <w:szCs w:val="24"/>
        </w:rPr>
        <w:t xml:space="preserve">5(a) Independent variables which were associated with the primary outcome variable </w:t>
      </w:r>
      <w:r>
        <w:rPr>
          <w:rFonts w:ascii="Times New Roman" w:hAnsi="Times New Roman" w:cs="Times New Roman"/>
          <w:sz w:val="24"/>
          <w:szCs w:val="24"/>
        </w:rPr>
        <w:t>at a significance level of 0.05</w:t>
      </w:r>
    </w:p>
    <w:p w:rsidR="009547B6" w:rsidRPr="009547B6" w:rsidRDefault="009547B6" w:rsidP="009547B6">
      <w:pPr>
        <w:spacing w:line="480" w:lineRule="auto"/>
        <w:rPr>
          <w:rFonts w:ascii="Times New Roman" w:hAnsi="Times New Roman" w:cs="Times New Roman"/>
          <w:sz w:val="24"/>
          <w:szCs w:val="24"/>
        </w:rPr>
      </w:pPr>
      <w:r w:rsidRPr="009547B6">
        <w:rPr>
          <w:rFonts w:ascii="Times New Roman" w:hAnsi="Times New Roman" w:cs="Times New Roman"/>
          <w:sz w:val="24"/>
          <w:szCs w:val="24"/>
        </w:rPr>
        <w:t>If P˂ 0.2.b dependent variable is log-transformed to</w:t>
      </w:r>
      <w:r>
        <w:rPr>
          <w:rFonts w:ascii="Times New Roman" w:hAnsi="Times New Roman" w:cs="Times New Roman"/>
          <w:sz w:val="24"/>
          <w:szCs w:val="24"/>
        </w:rPr>
        <w:t xml:space="preserve"> correct for heteroscedasticity</w:t>
      </w:r>
      <w:r w:rsidRPr="009547B6">
        <w:rPr>
          <w:rFonts w:ascii="Times New Roman" w:hAnsi="Times New Roman" w:cs="Times New Roman"/>
          <w:sz w:val="24"/>
          <w:szCs w:val="24"/>
        </w:rPr>
        <w:t xml:space="preserve"> </w:t>
      </w:r>
      <w:r>
        <w:rPr>
          <w:rFonts w:ascii="Times New Roman" w:hAnsi="Times New Roman" w:cs="Times New Roman"/>
          <w:sz w:val="24"/>
          <w:szCs w:val="24"/>
        </w:rPr>
        <w:t>t</w:t>
      </w:r>
      <w:r w:rsidRPr="009547B6">
        <w:rPr>
          <w:rFonts w:ascii="Times New Roman" w:hAnsi="Times New Roman" w:cs="Times New Roman"/>
          <w:sz w:val="24"/>
          <w:szCs w:val="24"/>
        </w:rPr>
        <w:t>herefore, at 0.05 we will have the Fentanyl infusion rates of 0.4, 0.6, 0.8, 1, and 1.2 mcg/kg/h. All these are based on the predictor variables like paralytic, sex, and race that is 0.016 Post intubation paralytic (Korinek et al.</w:t>
      </w:r>
      <w:r>
        <w:rPr>
          <w:rFonts w:ascii="Times New Roman" w:hAnsi="Times New Roman" w:cs="Times New Roman"/>
          <w:sz w:val="24"/>
          <w:szCs w:val="24"/>
        </w:rPr>
        <w:t xml:space="preserve"> </w:t>
      </w:r>
      <w:r w:rsidRPr="009547B6">
        <w:rPr>
          <w:rFonts w:ascii="Times New Roman" w:hAnsi="Times New Roman" w:cs="Times New Roman"/>
          <w:sz w:val="24"/>
          <w:szCs w:val="24"/>
        </w:rPr>
        <w:t xml:space="preserve">2014).  </w:t>
      </w:r>
      <w:r>
        <w:rPr>
          <w:rFonts w:ascii="Times New Roman" w:hAnsi="Times New Roman" w:cs="Times New Roman"/>
          <w:sz w:val="24"/>
          <w:szCs w:val="24"/>
        </w:rPr>
        <w:t>T</w:t>
      </w:r>
      <w:r w:rsidRPr="009547B6">
        <w:rPr>
          <w:rFonts w:ascii="Times New Roman" w:hAnsi="Times New Roman" w:cs="Times New Roman"/>
          <w:sz w:val="24"/>
          <w:szCs w:val="24"/>
        </w:rPr>
        <w:t xml:space="preserve">he number of patients was </w:t>
      </w:r>
      <w:r>
        <w:rPr>
          <w:rFonts w:ascii="Times New Roman" w:hAnsi="Times New Roman" w:cs="Times New Roman"/>
          <w:sz w:val="24"/>
          <w:szCs w:val="24"/>
        </w:rPr>
        <w:t>(</w:t>
      </w:r>
      <w:r w:rsidRPr="009547B6">
        <w:rPr>
          <w:rFonts w:ascii="Times New Roman" w:hAnsi="Times New Roman" w:cs="Times New Roman"/>
          <w:sz w:val="24"/>
          <w:szCs w:val="24"/>
        </w:rPr>
        <w:t>n</w:t>
      </w:r>
      <w:r>
        <w:rPr>
          <w:rFonts w:ascii="Times New Roman" w:hAnsi="Times New Roman" w:cs="Times New Roman"/>
          <w:sz w:val="24"/>
          <w:szCs w:val="24"/>
        </w:rPr>
        <w:t xml:space="preserve">) </w:t>
      </w:r>
      <w:r w:rsidRPr="009547B6">
        <w:rPr>
          <w:rFonts w:ascii="Times New Roman" w:hAnsi="Times New Roman" w:cs="Times New Roman"/>
          <w:sz w:val="24"/>
          <w:szCs w:val="24"/>
        </w:rPr>
        <w:t>=218.</w:t>
      </w:r>
    </w:p>
    <w:p w:rsidR="009547B6" w:rsidRPr="009547B6" w:rsidRDefault="009547B6" w:rsidP="009547B6">
      <w:pPr>
        <w:spacing w:line="480" w:lineRule="auto"/>
        <w:rPr>
          <w:rFonts w:ascii="Times New Roman" w:hAnsi="Times New Roman" w:cs="Times New Roman"/>
          <w:sz w:val="24"/>
          <w:szCs w:val="24"/>
        </w:rPr>
      </w:pPr>
      <w:r w:rsidRPr="009547B6">
        <w:rPr>
          <w:rFonts w:ascii="Times New Roman" w:hAnsi="Times New Roman" w:cs="Times New Roman"/>
          <w:sz w:val="24"/>
          <w:szCs w:val="24"/>
        </w:rPr>
        <w:t>5(b). Percentage variance in the primary outcome variables which can be explained</w:t>
      </w:r>
      <w:r>
        <w:rPr>
          <w:rFonts w:ascii="Times New Roman" w:hAnsi="Times New Roman" w:cs="Times New Roman"/>
          <w:sz w:val="24"/>
          <w:szCs w:val="24"/>
        </w:rPr>
        <w:t xml:space="preserve"> by the linear regression model</w:t>
      </w:r>
    </w:p>
    <w:p w:rsidR="009547B6" w:rsidRPr="009547B6" w:rsidRDefault="009547B6" w:rsidP="009547B6">
      <w:pPr>
        <w:spacing w:line="480" w:lineRule="auto"/>
        <w:rPr>
          <w:rFonts w:ascii="Times New Roman" w:hAnsi="Times New Roman" w:cs="Times New Roman"/>
          <w:sz w:val="24"/>
          <w:szCs w:val="24"/>
        </w:rPr>
      </w:pPr>
      <w:r w:rsidRPr="009547B6">
        <w:rPr>
          <w:rFonts w:ascii="Times New Roman" w:hAnsi="Times New Roman" w:cs="Times New Roman"/>
          <w:sz w:val="24"/>
          <w:szCs w:val="24"/>
        </w:rPr>
        <w:t>We have a total of 42.5% that represent 108 number of patients which received an analgesic infusion and 14.2% that is 36 patients receiving an</w:t>
      </w:r>
      <w:r>
        <w:rPr>
          <w:rFonts w:ascii="Times New Roman" w:hAnsi="Times New Roman" w:cs="Times New Roman"/>
          <w:sz w:val="24"/>
          <w:szCs w:val="24"/>
        </w:rPr>
        <w:t xml:space="preserve">algesic boluses (Korinek et al. </w:t>
      </w:r>
      <w:r w:rsidRPr="009547B6">
        <w:rPr>
          <w:rFonts w:ascii="Times New Roman" w:hAnsi="Times New Roman" w:cs="Times New Roman"/>
          <w:sz w:val="24"/>
          <w:szCs w:val="24"/>
        </w:rPr>
        <w:t xml:space="preserve">2014). Thus </w:t>
      </w:r>
      <w:r w:rsidRPr="009547B6">
        <w:rPr>
          <w:rFonts w:ascii="Times New Roman" w:hAnsi="Times New Roman" w:cs="Times New Roman"/>
          <w:sz w:val="24"/>
          <w:szCs w:val="24"/>
        </w:rPr>
        <w:lastRenderedPageBreak/>
        <w:t>these percentages can be easily explained by linear regression because infusion rates were given in table 3 at 0, 30, 60, and 120 minutes.</w:t>
      </w:r>
    </w:p>
    <w:p w:rsidR="009547B6" w:rsidRPr="009547B6" w:rsidRDefault="009547B6" w:rsidP="009547B6">
      <w:pPr>
        <w:spacing w:line="480" w:lineRule="auto"/>
        <w:rPr>
          <w:rFonts w:ascii="Times New Roman" w:hAnsi="Times New Roman" w:cs="Times New Roman"/>
          <w:sz w:val="24"/>
          <w:szCs w:val="24"/>
        </w:rPr>
      </w:pPr>
      <w:r w:rsidRPr="009547B6">
        <w:rPr>
          <w:rFonts w:ascii="Times New Roman" w:hAnsi="Times New Roman" w:cs="Times New Roman"/>
          <w:sz w:val="24"/>
          <w:szCs w:val="24"/>
        </w:rPr>
        <w:t>5(c). Independent variables that were significantly associated with the primary outcome variables at the significance level of 0.10.</w:t>
      </w:r>
    </w:p>
    <w:p w:rsidR="009547B6" w:rsidRPr="009547B6" w:rsidRDefault="009547B6" w:rsidP="009547B6">
      <w:pPr>
        <w:spacing w:line="480" w:lineRule="auto"/>
        <w:rPr>
          <w:rFonts w:ascii="Times New Roman" w:hAnsi="Times New Roman" w:cs="Times New Roman"/>
          <w:sz w:val="24"/>
          <w:szCs w:val="24"/>
        </w:rPr>
      </w:pPr>
      <w:r w:rsidRPr="009547B6">
        <w:rPr>
          <w:rFonts w:ascii="Times New Roman" w:hAnsi="Times New Roman" w:cs="Times New Roman"/>
          <w:sz w:val="24"/>
          <w:szCs w:val="24"/>
        </w:rPr>
        <w:t>At this level we have Midazolam infusion rate 0f 0.04, 0.06, 0.08 mg/kg/h and has 0, 50, 100, and 150 minutes. Medication dosing after intubation (Korinek et al. 2009)</w:t>
      </w:r>
    </w:p>
    <w:p w:rsidR="009547B6" w:rsidRPr="009547B6" w:rsidRDefault="009547B6" w:rsidP="009547B6">
      <w:pPr>
        <w:spacing w:line="480" w:lineRule="auto"/>
        <w:rPr>
          <w:rFonts w:ascii="Times New Roman" w:hAnsi="Times New Roman" w:cs="Times New Roman"/>
          <w:b/>
          <w:sz w:val="24"/>
          <w:szCs w:val="24"/>
        </w:rPr>
      </w:pPr>
      <w:r w:rsidRPr="009547B6">
        <w:rPr>
          <w:rFonts w:ascii="Times New Roman" w:hAnsi="Times New Roman" w:cs="Times New Roman"/>
          <w:b/>
          <w:sz w:val="24"/>
          <w:szCs w:val="24"/>
        </w:rPr>
        <w:t>6. Overall evaluation</w:t>
      </w:r>
    </w:p>
    <w:p w:rsidR="009547B6" w:rsidRPr="009547B6" w:rsidRDefault="009547B6" w:rsidP="009547B6">
      <w:pPr>
        <w:spacing w:line="480" w:lineRule="auto"/>
        <w:rPr>
          <w:rFonts w:ascii="Times New Roman" w:hAnsi="Times New Roman" w:cs="Times New Roman"/>
          <w:sz w:val="24"/>
          <w:szCs w:val="24"/>
        </w:rPr>
      </w:pPr>
      <w:r w:rsidRPr="009547B6">
        <w:rPr>
          <w:rFonts w:ascii="Times New Roman" w:hAnsi="Times New Roman" w:cs="Times New Roman"/>
          <w:sz w:val="24"/>
          <w:szCs w:val="24"/>
        </w:rPr>
        <w:t xml:space="preserve">In my own opinion, it goes without any reasonable doubt that the researchers have put in place several steps to maintain the accuracy of the </w:t>
      </w:r>
      <w:r>
        <w:rPr>
          <w:rFonts w:ascii="Times New Roman" w:hAnsi="Times New Roman" w:cs="Times New Roman"/>
          <w:sz w:val="24"/>
          <w:szCs w:val="24"/>
        </w:rPr>
        <w:t xml:space="preserve">data collected (Korinek et al. </w:t>
      </w:r>
      <w:r w:rsidRPr="009547B6">
        <w:rPr>
          <w:rFonts w:ascii="Times New Roman" w:hAnsi="Times New Roman" w:cs="Times New Roman"/>
          <w:sz w:val="24"/>
          <w:szCs w:val="24"/>
        </w:rPr>
        <w:t>2014). They have shown ethical behaviors in their statistical result and computations.</w:t>
      </w:r>
    </w:p>
    <w:p w:rsidR="009547B6" w:rsidRPr="009547B6" w:rsidRDefault="009547B6" w:rsidP="009547B6">
      <w:pPr>
        <w:spacing w:line="480" w:lineRule="auto"/>
        <w:rPr>
          <w:rFonts w:ascii="Times New Roman" w:hAnsi="Times New Roman" w:cs="Times New Roman"/>
          <w:sz w:val="24"/>
          <w:szCs w:val="24"/>
        </w:rPr>
      </w:pPr>
      <w:r w:rsidRPr="009547B6">
        <w:rPr>
          <w:rFonts w:ascii="Times New Roman" w:hAnsi="Times New Roman" w:cs="Times New Roman"/>
          <w:sz w:val="24"/>
          <w:szCs w:val="24"/>
        </w:rPr>
        <w:t>In conclusion, patients who received succinylcholine according to the study will have to go through the symptom-triggered therapy promptly after intubation. There is a decrease in dose-dependent in onset time with rocuronium, but it identified that the clinical duration of action is significantly longer.</w:t>
      </w:r>
    </w:p>
    <w:p w:rsidR="009547B6" w:rsidRPr="009547B6" w:rsidRDefault="009547B6" w:rsidP="009547B6">
      <w:pPr>
        <w:spacing w:line="480" w:lineRule="auto"/>
        <w:rPr>
          <w:rFonts w:ascii="Times New Roman" w:hAnsi="Times New Roman" w:cs="Times New Roman"/>
          <w:sz w:val="24"/>
          <w:szCs w:val="24"/>
        </w:rPr>
      </w:pPr>
    </w:p>
    <w:p w:rsidR="009547B6" w:rsidRPr="009547B6" w:rsidRDefault="009547B6" w:rsidP="009547B6">
      <w:pPr>
        <w:spacing w:line="480" w:lineRule="auto"/>
        <w:rPr>
          <w:rFonts w:ascii="Times New Roman" w:hAnsi="Times New Roman" w:cs="Times New Roman"/>
          <w:sz w:val="24"/>
          <w:szCs w:val="24"/>
        </w:rPr>
      </w:pPr>
    </w:p>
    <w:p w:rsidR="009547B6" w:rsidRDefault="009547B6" w:rsidP="009547B6">
      <w:pPr>
        <w:spacing w:line="480" w:lineRule="auto"/>
        <w:rPr>
          <w:rFonts w:ascii="Times New Roman" w:hAnsi="Times New Roman" w:cs="Times New Roman"/>
          <w:sz w:val="24"/>
          <w:szCs w:val="24"/>
        </w:rPr>
      </w:pPr>
    </w:p>
    <w:p w:rsidR="009547B6" w:rsidRPr="009547B6" w:rsidRDefault="009547B6" w:rsidP="009547B6">
      <w:pPr>
        <w:spacing w:line="480" w:lineRule="auto"/>
        <w:rPr>
          <w:rFonts w:ascii="Times New Roman" w:hAnsi="Times New Roman" w:cs="Times New Roman"/>
          <w:sz w:val="24"/>
          <w:szCs w:val="24"/>
        </w:rPr>
      </w:pPr>
    </w:p>
    <w:p w:rsidR="009547B6" w:rsidRPr="009547B6" w:rsidRDefault="009547B6" w:rsidP="009547B6">
      <w:pPr>
        <w:spacing w:line="480" w:lineRule="auto"/>
        <w:rPr>
          <w:rFonts w:ascii="Times New Roman" w:hAnsi="Times New Roman" w:cs="Times New Roman"/>
          <w:sz w:val="24"/>
          <w:szCs w:val="24"/>
        </w:rPr>
      </w:pPr>
    </w:p>
    <w:p w:rsidR="009547B6" w:rsidRPr="009547B6" w:rsidRDefault="009547B6" w:rsidP="009547B6">
      <w:pPr>
        <w:spacing w:line="480" w:lineRule="auto"/>
        <w:rPr>
          <w:rFonts w:ascii="Times New Roman" w:hAnsi="Times New Roman" w:cs="Times New Roman"/>
          <w:sz w:val="24"/>
          <w:szCs w:val="24"/>
        </w:rPr>
      </w:pPr>
    </w:p>
    <w:p w:rsidR="009547B6" w:rsidRPr="009547B6" w:rsidRDefault="009547B6" w:rsidP="009547B6">
      <w:pPr>
        <w:spacing w:line="480" w:lineRule="auto"/>
        <w:rPr>
          <w:rFonts w:ascii="Times New Roman" w:hAnsi="Times New Roman" w:cs="Times New Roman"/>
          <w:b/>
          <w:sz w:val="24"/>
          <w:szCs w:val="24"/>
        </w:rPr>
      </w:pPr>
      <w:r w:rsidRPr="009547B6">
        <w:rPr>
          <w:rFonts w:ascii="Times New Roman" w:hAnsi="Times New Roman" w:cs="Times New Roman"/>
          <w:b/>
          <w:sz w:val="24"/>
          <w:szCs w:val="24"/>
        </w:rPr>
        <w:lastRenderedPageBreak/>
        <w:t>References</w:t>
      </w:r>
    </w:p>
    <w:p w:rsidR="009547B6" w:rsidRPr="009547B6" w:rsidRDefault="009547B6" w:rsidP="009547B6">
      <w:pPr>
        <w:spacing w:line="480" w:lineRule="auto"/>
        <w:ind w:left="720" w:hanging="720"/>
        <w:jc w:val="both"/>
        <w:rPr>
          <w:rFonts w:ascii="Times New Roman" w:hAnsi="Times New Roman" w:cs="Times New Roman"/>
          <w:sz w:val="24"/>
          <w:szCs w:val="24"/>
        </w:rPr>
      </w:pPr>
      <w:r w:rsidRPr="009547B6">
        <w:rPr>
          <w:rFonts w:ascii="Times New Roman" w:hAnsi="Times New Roman" w:cs="Times New Roman"/>
          <w:sz w:val="24"/>
          <w:szCs w:val="24"/>
        </w:rPr>
        <w:t>Korinek, J. D., Thomas, R. M., Goddard, L. A., St John, A. E., Sakles, J. C., &amp; Patanwala, A. E. (2014). Comparison of rocuronium and succinylcholine on postintubation sedative and analgesic dosing in the emergency department. European Journal of Emergency Medicine, 21(3), 206-211.</w:t>
      </w:r>
    </w:p>
    <w:p w:rsidR="009547B6" w:rsidRPr="009547B6" w:rsidRDefault="009547B6" w:rsidP="009547B6">
      <w:pPr>
        <w:spacing w:line="480" w:lineRule="auto"/>
        <w:rPr>
          <w:rFonts w:ascii="Times New Roman" w:hAnsi="Times New Roman" w:cs="Times New Roman"/>
          <w:sz w:val="24"/>
          <w:szCs w:val="24"/>
        </w:rPr>
      </w:pPr>
      <w:r w:rsidRPr="009547B6">
        <w:rPr>
          <w:rFonts w:ascii="Times New Roman" w:hAnsi="Times New Roman" w:cs="Times New Roman"/>
          <w:sz w:val="24"/>
          <w:szCs w:val="24"/>
        </w:rPr>
        <w:t xml:space="preserve">     </w:t>
      </w:r>
    </w:p>
    <w:p w:rsidR="009547B6" w:rsidRPr="009547B6" w:rsidRDefault="009547B6" w:rsidP="009547B6">
      <w:pPr>
        <w:spacing w:line="480" w:lineRule="auto"/>
        <w:rPr>
          <w:rFonts w:ascii="Times New Roman" w:hAnsi="Times New Roman" w:cs="Times New Roman"/>
          <w:sz w:val="24"/>
          <w:szCs w:val="24"/>
        </w:rPr>
      </w:pPr>
    </w:p>
    <w:p w:rsidR="009547B6" w:rsidRPr="009547B6" w:rsidRDefault="009547B6" w:rsidP="009547B6">
      <w:pPr>
        <w:spacing w:line="480" w:lineRule="auto"/>
        <w:rPr>
          <w:rFonts w:ascii="Times New Roman" w:hAnsi="Times New Roman" w:cs="Times New Roman"/>
          <w:sz w:val="24"/>
          <w:szCs w:val="24"/>
        </w:rPr>
      </w:pPr>
    </w:p>
    <w:p w:rsidR="009547B6" w:rsidRPr="009547B6" w:rsidRDefault="009547B6" w:rsidP="009547B6">
      <w:pPr>
        <w:spacing w:line="480" w:lineRule="auto"/>
        <w:rPr>
          <w:rFonts w:ascii="Times New Roman" w:hAnsi="Times New Roman" w:cs="Times New Roman"/>
          <w:sz w:val="24"/>
          <w:szCs w:val="24"/>
        </w:rPr>
      </w:pPr>
    </w:p>
    <w:p w:rsidR="009547B6" w:rsidRPr="009547B6" w:rsidRDefault="009547B6" w:rsidP="009547B6">
      <w:pPr>
        <w:spacing w:line="480" w:lineRule="auto"/>
        <w:rPr>
          <w:rFonts w:ascii="Times New Roman" w:hAnsi="Times New Roman" w:cs="Times New Roman"/>
          <w:sz w:val="24"/>
          <w:szCs w:val="24"/>
        </w:rPr>
      </w:pPr>
    </w:p>
    <w:p w:rsidR="009547B6" w:rsidRPr="009547B6" w:rsidRDefault="009547B6" w:rsidP="009547B6">
      <w:pPr>
        <w:spacing w:line="480" w:lineRule="auto"/>
        <w:rPr>
          <w:rFonts w:ascii="Times New Roman" w:hAnsi="Times New Roman" w:cs="Times New Roman"/>
          <w:sz w:val="24"/>
          <w:szCs w:val="24"/>
        </w:rPr>
      </w:pPr>
    </w:p>
    <w:p w:rsidR="009547B6" w:rsidRPr="009547B6" w:rsidRDefault="009547B6" w:rsidP="009547B6">
      <w:pPr>
        <w:spacing w:line="480" w:lineRule="auto"/>
        <w:rPr>
          <w:rFonts w:ascii="Times New Roman" w:hAnsi="Times New Roman" w:cs="Times New Roman"/>
          <w:sz w:val="24"/>
          <w:szCs w:val="24"/>
        </w:rPr>
      </w:pPr>
    </w:p>
    <w:p w:rsidR="009547B6" w:rsidRPr="009547B6" w:rsidRDefault="009547B6" w:rsidP="009547B6">
      <w:pPr>
        <w:spacing w:line="480" w:lineRule="auto"/>
        <w:rPr>
          <w:rFonts w:ascii="Times New Roman" w:hAnsi="Times New Roman" w:cs="Times New Roman"/>
          <w:sz w:val="24"/>
          <w:szCs w:val="24"/>
        </w:rPr>
      </w:pPr>
      <w:r w:rsidRPr="009547B6">
        <w:rPr>
          <w:rFonts w:ascii="Times New Roman" w:hAnsi="Times New Roman" w:cs="Times New Roman"/>
          <w:sz w:val="24"/>
          <w:szCs w:val="24"/>
        </w:rPr>
        <w:t xml:space="preserve">    </w:t>
      </w:r>
    </w:p>
    <w:p w:rsidR="00687B1C" w:rsidRPr="009547B6" w:rsidRDefault="009547B6" w:rsidP="009547B6">
      <w:pPr>
        <w:spacing w:line="480" w:lineRule="auto"/>
        <w:rPr>
          <w:rFonts w:ascii="Times New Roman" w:hAnsi="Times New Roman" w:cs="Times New Roman"/>
          <w:sz w:val="24"/>
          <w:szCs w:val="24"/>
        </w:rPr>
      </w:pPr>
      <w:r w:rsidRPr="009547B6">
        <w:rPr>
          <w:rFonts w:ascii="Times New Roman" w:hAnsi="Times New Roman" w:cs="Times New Roman"/>
          <w:sz w:val="24"/>
          <w:szCs w:val="24"/>
        </w:rPr>
        <w:t xml:space="preserve">  </w:t>
      </w:r>
    </w:p>
    <w:sectPr w:rsidR="00687B1C" w:rsidRPr="009547B6" w:rsidSect="009547B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5004" w:rsidRDefault="001A5004" w:rsidP="00D93AA5">
      <w:pPr>
        <w:spacing w:after="0" w:line="240" w:lineRule="auto"/>
      </w:pPr>
      <w:r>
        <w:separator/>
      </w:r>
    </w:p>
  </w:endnote>
  <w:endnote w:type="continuationSeparator" w:id="0">
    <w:p w:rsidR="001A5004" w:rsidRDefault="001A5004" w:rsidP="00D93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5004" w:rsidRDefault="001A5004" w:rsidP="00D93AA5">
      <w:pPr>
        <w:spacing w:after="0" w:line="240" w:lineRule="auto"/>
      </w:pPr>
      <w:r>
        <w:separator/>
      </w:r>
    </w:p>
  </w:footnote>
  <w:footnote w:type="continuationSeparator" w:id="0">
    <w:p w:rsidR="001A5004" w:rsidRDefault="001A5004" w:rsidP="00D93A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7538352"/>
      <w:docPartObj>
        <w:docPartGallery w:val="Page Numbers (Top of Page)"/>
        <w:docPartUnique/>
      </w:docPartObj>
    </w:sdtPr>
    <w:sdtEndPr>
      <w:rPr>
        <w:noProof/>
      </w:rPr>
    </w:sdtEndPr>
    <w:sdtContent>
      <w:p w:rsidR="009547B6" w:rsidRPr="00D44442" w:rsidRDefault="009547B6">
        <w:pPr>
          <w:pStyle w:val="Header"/>
          <w:jc w:val="right"/>
          <w:rPr>
            <w:rFonts w:ascii="Times New Roman" w:hAnsi="Times New Roman" w:cs="Times New Roman"/>
            <w:sz w:val="24"/>
            <w:szCs w:val="24"/>
          </w:rPr>
        </w:pPr>
        <w:r w:rsidRPr="00D44442">
          <w:rPr>
            <w:rFonts w:ascii="Times New Roman" w:hAnsi="Times New Roman" w:cs="Times New Roman"/>
            <w:sz w:val="24"/>
            <w:szCs w:val="24"/>
          </w:rPr>
          <w:t xml:space="preserve">LITERATURE REVIEW REPORT   </w:t>
        </w:r>
        <w:r w:rsidRPr="00D44442">
          <w:rPr>
            <w:rFonts w:ascii="Times New Roman" w:hAnsi="Times New Roman" w:cs="Times New Roman"/>
            <w:sz w:val="24"/>
            <w:szCs w:val="24"/>
          </w:rPr>
          <w:tab/>
        </w:r>
        <w:r w:rsidRPr="00D44442">
          <w:rPr>
            <w:rFonts w:ascii="Times New Roman" w:hAnsi="Times New Roman" w:cs="Times New Roman"/>
            <w:sz w:val="24"/>
            <w:szCs w:val="24"/>
          </w:rPr>
          <w:tab/>
        </w:r>
        <w:r w:rsidRPr="00D44442">
          <w:rPr>
            <w:rFonts w:ascii="Times New Roman" w:hAnsi="Times New Roman" w:cs="Times New Roman"/>
            <w:sz w:val="24"/>
            <w:szCs w:val="24"/>
          </w:rPr>
          <w:fldChar w:fldCharType="begin"/>
        </w:r>
        <w:r w:rsidRPr="00D44442">
          <w:rPr>
            <w:rFonts w:ascii="Times New Roman" w:hAnsi="Times New Roman" w:cs="Times New Roman"/>
            <w:sz w:val="24"/>
            <w:szCs w:val="24"/>
          </w:rPr>
          <w:instrText xml:space="preserve"> PAGE   \* MERGEFORMAT </w:instrText>
        </w:r>
        <w:r w:rsidRPr="00D44442">
          <w:rPr>
            <w:rFonts w:ascii="Times New Roman" w:hAnsi="Times New Roman" w:cs="Times New Roman"/>
            <w:sz w:val="24"/>
            <w:szCs w:val="24"/>
          </w:rPr>
          <w:fldChar w:fldCharType="separate"/>
        </w:r>
        <w:r w:rsidR="00DC142E">
          <w:rPr>
            <w:rFonts w:ascii="Times New Roman" w:hAnsi="Times New Roman" w:cs="Times New Roman"/>
            <w:noProof/>
            <w:sz w:val="24"/>
            <w:szCs w:val="24"/>
          </w:rPr>
          <w:t>5</w:t>
        </w:r>
        <w:r w:rsidRPr="00D44442">
          <w:rPr>
            <w:rFonts w:ascii="Times New Roman" w:hAnsi="Times New Roman" w:cs="Times New Roman"/>
            <w:noProof/>
            <w:sz w:val="24"/>
            <w:szCs w:val="24"/>
          </w:rPr>
          <w:fldChar w:fldCharType="end"/>
        </w:r>
      </w:p>
    </w:sdtContent>
  </w:sdt>
  <w:p w:rsidR="009547B6" w:rsidRPr="00D44442" w:rsidRDefault="009547B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7B6" w:rsidRPr="009547B6" w:rsidRDefault="009547B6">
    <w:pPr>
      <w:pStyle w:val="Header"/>
      <w:rPr>
        <w:rFonts w:ascii="Times New Roman" w:hAnsi="Times New Roman" w:cs="Times New Roman"/>
        <w:sz w:val="24"/>
        <w:szCs w:val="24"/>
      </w:rPr>
    </w:pPr>
    <w:r w:rsidRPr="009547B6">
      <w:rPr>
        <w:rFonts w:ascii="Times New Roman" w:hAnsi="Times New Roman" w:cs="Times New Roman"/>
        <w:sz w:val="24"/>
        <w:szCs w:val="24"/>
      </w:rPr>
      <w:t xml:space="preserve">Running Head: Literature Review Report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3533B4"/>
    <w:multiLevelType w:val="multilevel"/>
    <w:tmpl w:val="5F0CCA9A"/>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54EF1D06"/>
    <w:multiLevelType w:val="multilevel"/>
    <w:tmpl w:val="5D70FE6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75DC"/>
    <w:rsid w:val="000007F7"/>
    <w:rsid w:val="0000253B"/>
    <w:rsid w:val="000327E9"/>
    <w:rsid w:val="0004681A"/>
    <w:rsid w:val="00086577"/>
    <w:rsid w:val="001030AB"/>
    <w:rsid w:val="001034ED"/>
    <w:rsid w:val="001824CD"/>
    <w:rsid w:val="001A5004"/>
    <w:rsid w:val="001D0E27"/>
    <w:rsid w:val="001F3413"/>
    <w:rsid w:val="00223604"/>
    <w:rsid w:val="002253F2"/>
    <w:rsid w:val="00227270"/>
    <w:rsid w:val="00266F28"/>
    <w:rsid w:val="002874C0"/>
    <w:rsid w:val="002C00C6"/>
    <w:rsid w:val="00300333"/>
    <w:rsid w:val="0033297E"/>
    <w:rsid w:val="00372C75"/>
    <w:rsid w:val="003D418C"/>
    <w:rsid w:val="003D4F47"/>
    <w:rsid w:val="003F3A4E"/>
    <w:rsid w:val="003F46EC"/>
    <w:rsid w:val="00415365"/>
    <w:rsid w:val="00424E0A"/>
    <w:rsid w:val="004324AD"/>
    <w:rsid w:val="0044045C"/>
    <w:rsid w:val="00447E3E"/>
    <w:rsid w:val="00460B56"/>
    <w:rsid w:val="00477DFF"/>
    <w:rsid w:val="00480114"/>
    <w:rsid w:val="004D49A8"/>
    <w:rsid w:val="004E2715"/>
    <w:rsid w:val="0050521F"/>
    <w:rsid w:val="00505388"/>
    <w:rsid w:val="00507D37"/>
    <w:rsid w:val="0052313B"/>
    <w:rsid w:val="00540120"/>
    <w:rsid w:val="0056017D"/>
    <w:rsid w:val="005B7178"/>
    <w:rsid w:val="005C5E98"/>
    <w:rsid w:val="005E1BE5"/>
    <w:rsid w:val="005E73EC"/>
    <w:rsid w:val="00600985"/>
    <w:rsid w:val="00621013"/>
    <w:rsid w:val="00664DBE"/>
    <w:rsid w:val="006829A0"/>
    <w:rsid w:val="00687B1C"/>
    <w:rsid w:val="00736FB7"/>
    <w:rsid w:val="007A7254"/>
    <w:rsid w:val="007B5EC7"/>
    <w:rsid w:val="007F09B2"/>
    <w:rsid w:val="007F1D11"/>
    <w:rsid w:val="0082454F"/>
    <w:rsid w:val="00865972"/>
    <w:rsid w:val="00870969"/>
    <w:rsid w:val="008800F2"/>
    <w:rsid w:val="00880B48"/>
    <w:rsid w:val="008C5F25"/>
    <w:rsid w:val="009200E4"/>
    <w:rsid w:val="00945BAD"/>
    <w:rsid w:val="009547B6"/>
    <w:rsid w:val="009766DF"/>
    <w:rsid w:val="00976AA8"/>
    <w:rsid w:val="009A6959"/>
    <w:rsid w:val="009F1826"/>
    <w:rsid w:val="00A21FAA"/>
    <w:rsid w:val="00A27E35"/>
    <w:rsid w:val="00A5249D"/>
    <w:rsid w:val="00A57612"/>
    <w:rsid w:val="00AB3CCE"/>
    <w:rsid w:val="00AE4053"/>
    <w:rsid w:val="00AF73B3"/>
    <w:rsid w:val="00B20265"/>
    <w:rsid w:val="00B2314C"/>
    <w:rsid w:val="00B81954"/>
    <w:rsid w:val="00BA4308"/>
    <w:rsid w:val="00BC75DC"/>
    <w:rsid w:val="00BF1C31"/>
    <w:rsid w:val="00C03387"/>
    <w:rsid w:val="00C303AC"/>
    <w:rsid w:val="00C4024A"/>
    <w:rsid w:val="00C66CC5"/>
    <w:rsid w:val="00C830E9"/>
    <w:rsid w:val="00C84E31"/>
    <w:rsid w:val="00CD3B0E"/>
    <w:rsid w:val="00CE6CBF"/>
    <w:rsid w:val="00CF284E"/>
    <w:rsid w:val="00D00FF4"/>
    <w:rsid w:val="00D10568"/>
    <w:rsid w:val="00D208F7"/>
    <w:rsid w:val="00D276F1"/>
    <w:rsid w:val="00D331DB"/>
    <w:rsid w:val="00D44442"/>
    <w:rsid w:val="00D46C0A"/>
    <w:rsid w:val="00D52EBC"/>
    <w:rsid w:val="00D93AA5"/>
    <w:rsid w:val="00DC142E"/>
    <w:rsid w:val="00E05000"/>
    <w:rsid w:val="00E679CD"/>
    <w:rsid w:val="00E96A02"/>
    <w:rsid w:val="00EB689C"/>
    <w:rsid w:val="00EE108C"/>
    <w:rsid w:val="00EE74D1"/>
    <w:rsid w:val="00F946A5"/>
    <w:rsid w:val="00F96973"/>
    <w:rsid w:val="00FD5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00C6"/>
    <w:pPr>
      <w:ind w:left="720"/>
      <w:contextualSpacing/>
    </w:pPr>
  </w:style>
  <w:style w:type="paragraph" w:styleId="Header">
    <w:name w:val="header"/>
    <w:basedOn w:val="Normal"/>
    <w:link w:val="HeaderChar"/>
    <w:uiPriority w:val="99"/>
    <w:unhideWhenUsed/>
    <w:rsid w:val="00D93A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AA5"/>
  </w:style>
  <w:style w:type="paragraph" w:styleId="Footer">
    <w:name w:val="footer"/>
    <w:basedOn w:val="Normal"/>
    <w:link w:val="FooterChar"/>
    <w:uiPriority w:val="99"/>
    <w:unhideWhenUsed/>
    <w:rsid w:val="00D93A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A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00C6"/>
    <w:pPr>
      <w:ind w:left="720"/>
      <w:contextualSpacing/>
    </w:pPr>
  </w:style>
  <w:style w:type="paragraph" w:styleId="Header">
    <w:name w:val="header"/>
    <w:basedOn w:val="Normal"/>
    <w:link w:val="HeaderChar"/>
    <w:uiPriority w:val="99"/>
    <w:unhideWhenUsed/>
    <w:rsid w:val="00D93A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AA5"/>
  </w:style>
  <w:style w:type="paragraph" w:styleId="Footer">
    <w:name w:val="footer"/>
    <w:basedOn w:val="Normal"/>
    <w:link w:val="FooterChar"/>
    <w:uiPriority w:val="99"/>
    <w:unhideWhenUsed/>
    <w:rsid w:val="00D93A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63662">
      <w:bodyDiv w:val="1"/>
      <w:marLeft w:val="0"/>
      <w:marRight w:val="0"/>
      <w:marTop w:val="0"/>
      <w:marBottom w:val="0"/>
      <w:divBdr>
        <w:top w:val="none" w:sz="0" w:space="0" w:color="auto"/>
        <w:left w:val="none" w:sz="0" w:space="0" w:color="auto"/>
        <w:bottom w:val="none" w:sz="0" w:space="0" w:color="auto"/>
        <w:right w:val="none" w:sz="0" w:space="0" w:color="auto"/>
      </w:divBdr>
      <w:divsChild>
        <w:div w:id="1238397800">
          <w:marLeft w:val="0"/>
          <w:marRight w:val="0"/>
          <w:marTop w:val="0"/>
          <w:marBottom w:val="0"/>
          <w:divBdr>
            <w:top w:val="none" w:sz="0" w:space="0" w:color="auto"/>
            <w:left w:val="none" w:sz="0" w:space="0" w:color="auto"/>
            <w:bottom w:val="none" w:sz="0" w:space="0" w:color="auto"/>
            <w:right w:val="none" w:sz="0" w:space="0" w:color="auto"/>
          </w:divBdr>
        </w:div>
      </w:divsChild>
    </w:div>
    <w:div w:id="298338857">
      <w:bodyDiv w:val="1"/>
      <w:marLeft w:val="0"/>
      <w:marRight w:val="0"/>
      <w:marTop w:val="0"/>
      <w:marBottom w:val="0"/>
      <w:divBdr>
        <w:top w:val="none" w:sz="0" w:space="0" w:color="auto"/>
        <w:left w:val="none" w:sz="0" w:space="0" w:color="auto"/>
        <w:bottom w:val="none" w:sz="0" w:space="0" w:color="auto"/>
        <w:right w:val="none" w:sz="0" w:space="0" w:color="auto"/>
      </w:divBdr>
      <w:divsChild>
        <w:div w:id="1613589148">
          <w:marLeft w:val="0"/>
          <w:marRight w:val="0"/>
          <w:marTop w:val="0"/>
          <w:marBottom w:val="0"/>
          <w:divBdr>
            <w:top w:val="none" w:sz="0" w:space="0" w:color="auto"/>
            <w:left w:val="none" w:sz="0" w:space="0" w:color="auto"/>
            <w:bottom w:val="none" w:sz="0" w:space="0" w:color="auto"/>
            <w:right w:val="none" w:sz="0" w:space="0" w:color="auto"/>
          </w:divBdr>
        </w:div>
      </w:divsChild>
    </w:div>
    <w:div w:id="531041106">
      <w:bodyDiv w:val="1"/>
      <w:marLeft w:val="0"/>
      <w:marRight w:val="0"/>
      <w:marTop w:val="0"/>
      <w:marBottom w:val="0"/>
      <w:divBdr>
        <w:top w:val="none" w:sz="0" w:space="0" w:color="auto"/>
        <w:left w:val="none" w:sz="0" w:space="0" w:color="auto"/>
        <w:bottom w:val="none" w:sz="0" w:space="0" w:color="auto"/>
        <w:right w:val="none" w:sz="0" w:space="0" w:color="auto"/>
      </w:divBdr>
      <w:divsChild>
        <w:div w:id="62531124">
          <w:marLeft w:val="0"/>
          <w:marRight w:val="0"/>
          <w:marTop w:val="0"/>
          <w:marBottom w:val="0"/>
          <w:divBdr>
            <w:top w:val="none" w:sz="0" w:space="0" w:color="auto"/>
            <w:left w:val="none" w:sz="0" w:space="0" w:color="auto"/>
            <w:bottom w:val="none" w:sz="0" w:space="0" w:color="auto"/>
            <w:right w:val="none" w:sz="0" w:space="0" w:color="auto"/>
          </w:divBdr>
        </w:div>
      </w:divsChild>
    </w:div>
    <w:div w:id="818157568">
      <w:bodyDiv w:val="1"/>
      <w:marLeft w:val="0"/>
      <w:marRight w:val="0"/>
      <w:marTop w:val="0"/>
      <w:marBottom w:val="0"/>
      <w:divBdr>
        <w:top w:val="none" w:sz="0" w:space="0" w:color="auto"/>
        <w:left w:val="none" w:sz="0" w:space="0" w:color="auto"/>
        <w:bottom w:val="none" w:sz="0" w:space="0" w:color="auto"/>
        <w:right w:val="none" w:sz="0" w:space="0" w:color="auto"/>
      </w:divBdr>
      <w:divsChild>
        <w:div w:id="2101171991">
          <w:marLeft w:val="0"/>
          <w:marRight w:val="0"/>
          <w:marTop w:val="0"/>
          <w:marBottom w:val="0"/>
          <w:divBdr>
            <w:top w:val="none" w:sz="0" w:space="0" w:color="auto"/>
            <w:left w:val="none" w:sz="0" w:space="0" w:color="auto"/>
            <w:bottom w:val="none" w:sz="0" w:space="0" w:color="auto"/>
            <w:right w:val="none" w:sz="0" w:space="0" w:color="auto"/>
          </w:divBdr>
        </w:div>
      </w:divsChild>
    </w:div>
    <w:div w:id="1471903278">
      <w:bodyDiv w:val="1"/>
      <w:marLeft w:val="0"/>
      <w:marRight w:val="0"/>
      <w:marTop w:val="0"/>
      <w:marBottom w:val="0"/>
      <w:divBdr>
        <w:top w:val="none" w:sz="0" w:space="0" w:color="auto"/>
        <w:left w:val="none" w:sz="0" w:space="0" w:color="auto"/>
        <w:bottom w:val="none" w:sz="0" w:space="0" w:color="auto"/>
        <w:right w:val="none" w:sz="0" w:space="0" w:color="auto"/>
      </w:divBdr>
      <w:divsChild>
        <w:div w:id="8240124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1386</Words>
  <Characters>7901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maggie</cp:lastModifiedBy>
  <cp:revision>2</cp:revision>
  <dcterms:created xsi:type="dcterms:W3CDTF">2018-10-31T10:59:00Z</dcterms:created>
  <dcterms:modified xsi:type="dcterms:W3CDTF">2018-10-31T10:59:00Z</dcterms:modified>
</cp:coreProperties>
</file>